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0"/>
      </w:pPr>
    </w:p>
    <w:p>
      <w:pPr>
        <w:spacing w:after="120" w:before="0"/>
        <w:jc w:val="center"/>
      </w:pPr>
      <w:r>
        <w:rPr>
          <w:rFonts w:ascii="Arial" w:cs="Arial" w:eastAsia="Arial" w:hAnsi="Arial"/>
          <w:b/>
          <w:bCs/>
          <w:color w:val="1B3A6B"/>
          <w:sz w:val="52"/>
          <w:szCs w:val="52"/>
        </w:rPr>
        <w:t xml:space="preserve">BAYESIAN HEAT EARLY WARNING SYSTEM</w:t>
      </w:r>
    </w:p>
    <w:p>
      <w:pPr>
        <w:spacing w:after="80" w:before="0"/>
        <w:jc w:val="center"/>
      </w:pPr>
      <w:r>
        <w:rPr>
          <w:rFonts w:ascii="Arial" w:cs="Arial" w:eastAsia="Arial" w:hAnsi="Arial"/>
          <w:color w:val="006D77"/>
          <w:sz w:val="32"/>
          <w:szCs w:val="32"/>
        </w:rPr>
        <w:t xml:space="preserve">Ensemble-Based Sector-Specific Decision Support for Sri Lanka</w:t>
      </w:r>
    </w:p>
    <w:p>
      <w:pPr>
        <w:pBdr>
          <w:bottom w:val="single" w:color="006D77" w:sz="6" w:space="1"/>
        </w:pBdr>
        <w:spacing w:after="0" w:before="0"/>
      </w:pPr>
    </w:p>
    <w:p>
      <w:pPr>
        <w:spacing w:after="120" w:before="0"/>
      </w:pPr>
    </w:p>
    <w:p>
      <w:pPr>
        <w:spacing w:after="60" w:before="0"/>
        <w:jc w:val="center"/>
      </w:pPr>
      <w:r>
        <w:rPr>
          <w:rFonts w:ascii="Arial" w:cs="Arial" w:eastAsia="Arial" w:hAnsi="Arial"/>
          <w:b/>
          <w:bCs/>
          <w:color w:val="424242"/>
          <w:sz w:val="24"/>
          <w:szCs w:val="24"/>
        </w:rPr>
        <w:t xml:space="preserve">Department of Meteorology, Sri Lanka</w:t>
      </w:r>
    </w:p>
    <w:p>
      <w:pPr>
        <w:spacing w:after="60" w:before="0"/>
        <w:jc w:val="center"/>
      </w:pPr>
      <w:r>
        <w:rPr>
          <w:rFonts w:ascii="Arial" w:cs="Arial" w:eastAsia="Arial" w:hAnsi="Arial"/>
          <w:color w:val="888888"/>
          <w:sz w:val="22"/>
          <w:szCs w:val="22"/>
        </w:rPr>
        <w:t xml:space="preserve">IBF Programme  •  April 2026</w:t>
      </w:r>
    </w:p>
    <w:p>
      <w:pPr>
        <w:spacing w:after="4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D77" w:sz="8"/>
              <w:left w:val="single" w:color="006D77" w:sz="8"/>
              <w:bottom w:val="single" w:color="006D77" w:sz="8"/>
              <w:right w:val="single" w:color="006D77" w:sz="8"/>
            </w:tcBorders>
            <w:shd w:fill="E0F7FA" w:val="clear"/>
            <w:tcMar>
              <w:top w:type="dxa" w:w="200"/>
              <w:left w:type="dxa" w:w="300"/>
              <w:bottom w:type="dxa" w:w="200"/>
              <w:right w:type="dxa" w:w="300"/>
            </w:tcMar>
          </w:tcPr>
          <w:p>
            <w:pPr>
              <w:spacing w:after="80" w:before="0"/>
              <w:jc w:val="center"/>
            </w:pPr>
            <w:r>
              <w:rPr>
                <w:rFonts w:ascii="Arial" w:cs="Arial" w:eastAsia="Arial" w:hAnsi="Arial"/>
                <w:b/>
                <w:bCs/>
                <w:color w:val="006D77"/>
                <w:sz w:val="20"/>
                <w:szCs w:val="20"/>
              </w:rPr>
              <w:t xml:space="preserve">DOCUMENT PURPOSE</w:t>
            </w:r>
          </w:p>
          <w:p>
            <w:pPr>
              <w:spacing w:after="0" w:before="0"/>
              <w:jc w:val="center"/>
            </w:pPr>
            <w:r>
              <w:rPr>
                <w:rFonts w:ascii="Arial" w:cs="Arial" w:eastAsia="Arial" w:hAnsi="Arial"/>
                <w:color w:val="424242"/>
                <w:sz w:val="20"/>
                <w:szCs w:val="20"/>
              </w:rPr>
              <w:t xml:space="preserve">This document describes the architecture, scientific foundations, and practical outputs of a prototype Bayesian Heat Early Warning System built on ECMWF ensemble probability forecasts. It is intended for institutional stakeholders, sector representatives, and technical reviewers evaluating the system for operational adoption within Sri Lanka’s Department of Meteorology.</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5" w:val="clear"/>
            <w:tcMar>
              <w:top w:type="dxa" w:w="160"/>
              <w:left w:type="dxa" w:w="240"/>
              <w:bottom w:type="dxa" w:w="160"/>
              <w:right w:type="dxa" w:w="240"/>
            </w:tcMar>
          </w:tcPr>
          <w:p>
            <w:pPr>
              <w:spacing w:after="60" w:before="0"/>
            </w:pPr>
            <w:r>
              <w:rPr>
                <w:rFonts w:ascii="Arial" w:cs="Arial" w:eastAsia="Arial" w:hAnsi="Arial"/>
                <w:b/>
                <w:bCs/>
                <w:color w:val="424242"/>
                <w:sz w:val="18"/>
                <w:szCs w:val="18"/>
              </w:rPr>
              <w:t xml:space="preserve">Independent Scientific Contribution</w:t>
            </w:r>
          </w:p>
          <w:p>
            <w:pPr>
              <w:spacing w:after="0" w:before="0"/>
            </w:pPr>
            <w:r>
              <w:rPr>
                <w:rFonts w:ascii="Arial" w:cs="Arial" w:eastAsia="Arial" w:hAnsi="Arial"/>
                <w:i/>
                <w:iCs/>
                <w:color w:val="424242"/>
                <w:sz w:val="18"/>
                <w:szCs w:val="18"/>
              </w:rPr>
              <w:t xml:space="preserve">This work was produced by an independent group of scientists collaborating to improve CREWS South Asia early warning outcomes. The findings, interpretations, and tools described in this document represent the views of the contributing team and do not necessarily reflect the views of CREWS or their government counterparts.</w:t>
            </w:r>
          </w:p>
        </w:tc>
      </w:tr>
    </w:tbl>
    <w:p>
      <w:pPr>
        <w:spacing w:after="160" w:before="0"/>
      </w:pPr>
    </w:p>
    <w:p>
      <w:r>
        <w:br w:type="page"/>
      </w:r>
    </w:p>
    <w:p>
      <w:pPr>
        <w:pStyle w:val="Heading1"/>
        <w:spacing w:after="120" w:before="360"/>
      </w:pPr>
      <w:r>
        <w:rPr>
          <w:rFonts w:ascii="Arial" w:cs="Arial" w:eastAsia="Arial" w:hAnsi="Arial"/>
          <w:b/>
          <w:bCs/>
          <w:color w:val="1B3A6B"/>
          <w:sz w:val="32"/>
          <w:szCs w:val="32"/>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1B3A6B"/>
          <w:sz w:val="32"/>
          <w:szCs w:val="32"/>
        </w:rPr>
        <w:t xml:space="preserve">1.  Executive Summary</w:t>
      </w:r>
    </w:p>
    <w:p>
      <w:pPr>
        <w:pBdr>
          <w:bottom w:val="single" w:color="1B3A6B" w:sz="6" w:space="1"/>
        </w:pBdr>
        <w:spacing w:after="0" w:before="0"/>
      </w:pPr>
    </w:p>
    <w:p>
      <w:pPr>
        <w:spacing w:after="80" w:before="0"/>
      </w:pPr>
    </w:p>
    <w:p>
      <w:pPr>
        <w:spacing w:after="120" w:before="60"/>
      </w:pPr>
      <w:r>
        <w:rPr>
          <w:rFonts w:ascii="Arial" w:cs="Arial" w:eastAsia="Arial" w:hAnsi="Arial"/>
          <w:sz w:val="20"/>
          <w:szCs w:val="20"/>
        </w:rPr>
        <w:t xml:space="preserve">Heat waves are Sri Lanka’s most under-recognised meteorological hazard. Unlike cyclones or floods, they kill silently, overwhelm hospitals, destroy harvests, and suppress productivity. Sri Lanka’s Department of Meteorology (DoM) already operates at the frontier of probabilistic forecasting — issuing seasonal probabilistic temperature outlooks and working with ECMWF model data — and this project extends that capability directly to event-scale heat warning decisions.</w:t>
      </w:r>
    </w:p>
    <w:p>
      <w:pPr>
        <w:spacing w:after="120" w:before="60"/>
      </w:pPr>
      <w:r>
        <w:rPr>
          <w:rFonts w:ascii="Arial" w:cs="Arial" w:eastAsia="Arial" w:hAnsi="Arial"/>
          <w:sz w:val="20"/>
          <w:szCs w:val="20"/>
        </w:rPr>
        <w:t xml:space="preserve">The system is a Bayesian Heat Early Warning System grounded in ECMWF Ensemble Prediction System (ENS) probability forecasts. The ENS runs 51 model members from perturbed initial conditions, producing a probability distribution over future states for each forecast cycle. This distribution is the natural basis for a warning decision that must account for forecast uncertainty explicitly, and it is data DoM already receives.</w:t>
      </w:r>
    </w:p>
    <w:p>
      <w:pPr>
        <w:spacing w:after="120" w:before="60"/>
      </w:pPr>
      <w:r>
        <w:rPr>
          <w:rFonts w:ascii="Arial" w:cs="Arial" w:eastAsia="Arial" w:hAnsi="Arial"/>
          <w:sz w:val="20"/>
          <w:szCs w:val="20"/>
        </w:rPr>
        <w:t xml:space="preserve">The system delivers three integrated tiers of output:</w:t>
      </w:r>
    </w:p>
    <w:p>
      <w:pPr>
        <w:pStyle w:val="ListParagraph"/>
        <w:numPr>
          <w:ilvl w:val="0"/>
          <w:numId w:val="2"/>
        </w:numPr>
        <w:spacing w:after="40" w:before="40"/>
      </w:pPr>
      <w:r>
        <w:rPr>
          <w:rFonts w:ascii="Arial" w:cs="Arial" w:eastAsia="Arial" w:hAnsi="Arial"/>
          <w:sz w:val="20"/>
          <w:szCs w:val="20"/>
        </w:rPr>
        <w:t>A Hazard Warning (Tier 1) from DoM, derived from ensemble probabilities calibrated against the climatological baseline for Colombo.</w:t>
      </w:r>
    </w:p>
    <w:p>
      <w:pPr>
        <w:pStyle w:val="ListParagraph"/>
        <w:numPr>
          <w:ilvl w:val="0"/>
          <w:numId w:val="2"/>
        </w:numPr>
        <w:spacing w:after="40" w:before="40"/>
      </w:pPr>
      <w:r>
        <w:rPr>
          <w:rFonts w:ascii="Arial" w:cs="Arial" w:eastAsia="Arial" w:hAnsi="Arial"/>
          <w:sz w:val="20"/>
          <w:szCs w:val="20"/>
        </w:rPr>
        <w:t>An Impact Advisory (Tier 2) for pre-registered sector focal points, and a Decision Advisory (Tier 3) for each sector, derived from cost/loss (C/L) optimisation, telling each sector the exact probability at which protective action is economically and ethically justified — independently of, and potentially ahead of, the official public warning.</w:t>
      </w:r>
    </w:p>
    <w:p>
      <w:pPr>
        <w:spacing w:after="80" w:before="0"/>
      </w:pPr>
    </w:p>
    <w:p>
      <w:pPr>
        <w:spacing w:after="120" w:before="60"/>
      </w:pPr>
      <w:r>
        <w:rPr>
          <w:rFonts w:ascii="Arial" w:cs="Arial" w:eastAsia="Arial" w:hAnsi="Arial"/>
          <w:sz w:val="20"/>
          <w:szCs w:val="20"/>
        </w:rPr>
        <w:t xml:space="preserve">Seven operational tools have been built and validated. These range from sector-level decision-support dashboards and forecasting libraries to an individual-level Personal Heat Risk Profiler. All are immediately deployable using ECMWF ENS data available to DoM under its existing licence agreement.</w:t>
      </w:r>
    </w:p>
    <w:p>
      <w:pPr>
        <w:spacing w:after="120" w:before="0"/>
      </w:pPr>
    </w:p>
    <w:p>
      <w:pPr>
        <w:pStyle w:val="Heading1"/>
        <w:spacing w:after="120" w:before="360"/>
      </w:pPr>
      <w:r>
        <w:rPr>
          <w:rFonts w:ascii="Arial" w:cs="Arial" w:eastAsia="Arial" w:hAnsi="Arial"/>
          <w:b/>
          <w:bCs/>
          <w:color w:val="1B3A6B"/>
          <w:sz w:val="32"/>
          <w:szCs w:val="32"/>
        </w:rPr>
        <w:t xml:space="preserve">2.  Building on DoM’s Existing Probabilistic Forecasting Capability</w:t>
      </w:r>
    </w:p>
    <w:p>
      <w:pPr>
        <w:pBdr>
          <w:bottom w:val="single" w:color="1B3A6B" w:sz="6" w:space="1"/>
        </w:pBdr>
        <w:spacing w:after="0" w:before="0"/>
      </w:pPr>
    </w:p>
    <w:p>
      <w:pPr>
        <w:spacing w:after="80" w:before="0"/>
      </w:pPr>
    </w:p>
    <w:p>
      <w:pPr>
        <w:pStyle w:val="Heading2"/>
        <w:spacing w:after="80" w:before="240"/>
      </w:pPr>
      <w:r>
        <w:rPr>
          <w:rFonts w:ascii="Arial" w:cs="Arial" w:eastAsia="Arial" w:hAnsi="Arial"/>
          <w:b/>
          <w:bCs/>
          <w:color w:val="006D77"/>
          <w:sz w:val="26"/>
          <w:szCs w:val="26"/>
        </w:rPr>
        <w:t xml:space="preserve">2.1  DoM Already Works in Probabilistic Space</w:t>
      </w:r>
    </w:p>
    <w:p>
      <w:pPr>
        <w:spacing w:after="120" w:before="60"/>
      </w:pPr>
      <w:r>
        <w:rPr>
          <w:rFonts w:ascii="Arial" w:cs="Arial" w:eastAsia="Arial" w:hAnsi="Arial"/>
          <w:sz w:val="20"/>
          <w:szCs w:val="20"/>
        </w:rPr>
        <w:t xml:space="preserve">Sri Lanka’s Department of Meteorology has already made the conceptual leap to probabilistic forecasting. The seasonal probabilistic temperature outlooks shown in the National Demonstration Plan Overview — tercile maps for November 2025 showing the probability of above-normal, near-normal, and below-normal temperature across Sri Lanka — demonstrate that DoM communicates forecast uncertainty as probability, not as a single value. This is the foundation on which this system builds.</w:t>
      </w:r>
    </w:p>
    <w:p>
      <w:pPr>
        <w:spacing w:after="80" w:before="0"/>
      </w:pPr>
    </w:p>
    <w:tbl>
      <w:tblPr>
        <w:tblW w:type="dxa" w:w="9360"/>
        <w:tblBorders>
          <w:top w:val="single" w:color="FFFFFF" w:sz="0"/>
          <w:left w:val="single" w:color="FFFFFF" w:sz="0"/>
          <w:bottom w:val="single" w:color="FFFFFF" w:sz="0"/>
          <w:right w:val="single" w:color="FFFFFF" w:sz="0"/>
          <w:insideH w:val="single" w:color="auto" w:sz="4"/>
          <w:insideV w:val="single" w:color="auto" w:sz="4"/>
        </w:tblBorders>
      </w:tblPr>
      <w:tblGrid>
        <w:gridCol w:w="200"/>
        <w:gridCol w:w="9160"/>
      </w:tblGrid>
      <w:tr>
        <w:tc>
          <w:tcPr>
            <w:tcW w:type="dxa" w:w="200"/>
            <w:tcBorders>
              <w:top w:val="single" w:color="FFFFFF" w:sz="0"/>
              <w:left w:val="single" w:color="FFFFFF" w:sz="0"/>
              <w:bottom w:val="single" w:color="FFFFFF" w:sz="0"/>
              <w:right w:val="single" w:color="FFFFFF" w:sz="0"/>
            </w:tcBorders>
            <w:shd w:fill="006D77" w:val="clear"/>
          </w:tcPr>
          <w:p/>
        </w:tc>
        <w:tc>
          <w:tcPr>
            <w:tcW w:type="dxa" w:w="9160"/>
            <w:tcBorders>
              <w:top w:val="single" w:color="FFFFFF" w:sz="0"/>
              <w:left w:val="single" w:color="FFFFFF" w:sz="0"/>
              <w:bottom w:val="single" w:color="FFFFFF" w:sz="0"/>
              <w:right w:val="single" w:color="FFFFFF" w:sz="0"/>
            </w:tcBorders>
            <w:shd w:fill="E0F7FA" w:val="clear"/>
            <w:tcMar>
              <w:top w:type="dxa" w:w="120"/>
              <w:left w:type="dxa" w:w="200"/>
              <w:bottom w:type="dxa" w:w="120"/>
              <w:right w:type="dxa" w:w="120"/>
            </w:tcMar>
          </w:tcPr>
          <w:p>
            <w:pPr>
              <w:spacing w:after="60" w:before="0"/>
            </w:pPr>
            <w:r>
              <w:rPr>
                <w:rFonts w:ascii="Arial" w:cs="Arial" w:eastAsia="Arial" w:hAnsi="Arial"/>
                <w:i/>
                <w:iCs/>
                <w:sz w:val="20"/>
                <w:szCs w:val="20"/>
              </w:rPr>
              <w:t xml:space="preserve">DoM’s seasonal tercile outlooks and the ECMWF Ensemble Prediction System share the same underlying logic: instead of one forecast, produce a distribution of possible outcomes and express that distribution as probabilities. This system extends exactly that logic from the seasonal timescale to the event timescale — from ‘is this month likely to be warmer than normal?’ to ‘how probable is a dangerous heat episode in the next 5 days, and what should each sector do about it?’</w:t>
            </w:r>
          </w:p>
        </w:tc>
      </w:tr>
    </w:tbl>
    <w:p>
      <w:pPr>
        <w:spacing w:after="120" w:before="0"/>
      </w:pPr>
    </w:p>
    <w:p>
      <w:pPr>
        <w:pStyle w:val="Heading2"/>
        <w:spacing w:after="80" w:before="240"/>
      </w:pPr>
      <w:r>
        <w:rPr>
          <w:rFonts w:ascii="Arial" w:cs="Arial" w:eastAsia="Arial" w:hAnsi="Arial"/>
          <w:b/>
          <w:bCs/>
          <w:color w:val="006D77"/>
          <w:sz w:val="26"/>
          <w:szCs w:val="26"/>
        </w:rPr>
        <w:t xml:space="preserve">2.2  Extending Probabilistic Forecasting to the Warning Timescale</w:t>
      </w:r>
    </w:p>
    <w:p>
      <w:pPr>
        <w:spacing w:after="120" w:before="60"/>
      </w:pPr>
      <w:r>
        <w:rPr>
          <w:rFonts w:ascii="Arial" w:cs="Arial" w:eastAsia="Arial" w:hAnsi="Arial"/>
          <w:sz w:val="20"/>
          <w:szCs w:val="20"/>
        </w:rPr>
        <w:t xml:space="preserve">Seasonal probabilistic outlooks operate at the monthly timescale and express temperature in terms of tercile categories — the probability of being above, near, or below the 1981–2010 normal. This is invaluable for setting seasonal preparedness posture and for informing the climatological prior used in this system. However, a monthly tercile forecast cannot resolve whether a specific dangerous heat episode will occur in the week of 12–18 November, or in the following week, or not at all within that month.</w:t>
      </w:r>
    </w:p>
    <w:p>
      <w:pPr>
        <w:spacing w:after="120" w:before="60"/>
      </w:pPr>
      <w:r>
        <w:rPr>
          <w:rFonts w:ascii="Arial" w:cs="Arial" w:eastAsia="Arial" w:hAnsi="Arial"/>
          <w:sz w:val="20"/>
          <w:szCs w:val="20"/>
        </w:rPr>
        <w:t xml:space="preserve">The ECMWF Ensemble Prediction System (ENS) fills this gap. Running 51 members (1 control run plus 50 perturbed members) from perturbed initial conditions, updated twice daily at 00Z and 12Z, the ENS produces probability distributions specific to each forecast day at 1–15 day lead times. Applied to heat, it answers precisely the question that warning decisions require: given today’s forecast, what is the probability that Heat Index in Colombo will reach Caution, Extreme Caution, or Danger levels in each of the next 15 days?</w:t>
      </w:r>
    </w:p>
    <w:p>
      <w:pPr>
        <w:spacing w:after="80" w:before="0"/>
      </w:pPr>
    </w:p>
    <w:p>
      <w:pPr>
        <w:pStyle w:val="Heading2"/>
        <w:spacing w:after="80" w:before="240"/>
      </w:pPr>
      <w:r>
        <w:rPr>
          <w:rFonts w:ascii="Arial" w:cs="Arial" w:eastAsia="Arial" w:hAnsi="Arial"/>
          <w:b/>
          <w:bCs/>
          <w:color w:val="006D77"/>
          <w:sz w:val="26"/>
          <w:szCs w:val="26"/>
        </w:rPr>
        <w:t xml:space="preserve">2.3  ECMWF ENS: Data DoM Already Has Access To</w:t>
      </w:r>
    </w:p>
    <w:p>
      <w:pPr>
        <w:spacing w:after="120" w:before="60"/>
      </w:pPr>
      <w:r>
        <w:rPr>
          <w:rFonts w:ascii="Arial" w:cs="Arial" w:eastAsia="Arial" w:hAnsi="Arial"/>
          <w:sz w:val="20"/>
          <w:szCs w:val="20"/>
        </w:rPr>
        <w:t xml:space="preserve">DoM holds a licence agreement with ECMWF that provides access to ECMWF products, including the Ensemble Prediction System. The ENS fields required — 2-metre temperature, relative humidity, wind speed, and mean radiant temperature at 0.2° horizontal resolution — are available under this agreement. Heat Index (from T2m and relative humidity) and UTCI (from T2m, humidity, wind, and mean radiant temperature) can be computed for each of the 51 members, producing a 51-member probability distribution over each thermal stress index for each forecast step. No additional procurement is needed.</w:t>
      </w:r>
    </w:p>
    <w:p>
      <w:pPr>
        <w:spacing w:after="120" w:before="60"/>
      </w:pPr>
      <w:r>
        <w:rPr>
          <w:rFonts w:ascii="Arial" w:cs="Arial" w:eastAsia="Arial" w:hAnsi="Arial"/>
          <w:sz w:val="20"/>
          <w:szCs w:val="20"/>
        </w:rPr>
        <w:t xml:space="preserve">Looking further ahead, DoM also has the option to run its operational WRF model as an ensemble, using ECMWF ENS members as boundary conditions. This would produce a downscaled ensemble at WRF’s native 5km resolution, preserving Sri Lanka’s complex terrain and coastal gradients that the global ENS cannot fully resolve. The Bayesian framework described in this document is equally applicable to such a regional ensemble: member exceedance counts would replace the global ENS counts, and the calibration approach is identical. This represents a natural long-term evolution of the operational system.</w:t>
      </w:r>
    </w:p>
    <w:p>
      <w:pPr>
        <w:spacing w:after="120" w:before="0"/>
      </w:pPr>
    </w:p>
    <w:p>
      <w:pPr>
        <w:pStyle w:val="Heading1"/>
        <w:spacing w:after="120" w:before="360"/>
      </w:pPr>
      <w:r>
        <w:rPr>
          <w:rFonts w:ascii="Arial" w:cs="Arial" w:eastAsia="Arial" w:hAnsi="Arial"/>
          <w:b/>
          <w:bCs/>
          <w:color w:val="1B3A6B"/>
          <w:sz w:val="32"/>
          <w:szCs w:val="32"/>
        </w:rPr>
        <w:t xml:space="preserve">3.  Scientific and Theoretical Framework</w:t>
      </w:r>
    </w:p>
    <w:p>
      <w:pPr>
        <w:pBdr>
          <w:bottom w:val="single" w:color="1B3A6B" w:sz="6" w:space="1"/>
        </w:pBdr>
        <w:spacing w:after="0" w:before="0"/>
      </w:pPr>
    </w:p>
    <w:p>
      <w:pPr>
        <w:spacing w:after="80" w:before="0"/>
      </w:pPr>
    </w:p>
    <w:p>
      <w:pPr>
        <w:pStyle w:val="Heading2"/>
        <w:spacing w:after="80" w:before="240"/>
      </w:pPr>
      <w:r>
        <w:rPr>
          <w:rFonts w:ascii="Arial" w:cs="Arial" w:eastAsia="Arial" w:hAnsi="Arial"/>
          <w:b/>
          <w:bCs/>
          <w:color w:val="006D77"/>
          <w:sz w:val="26"/>
          <w:szCs w:val="26"/>
        </w:rPr>
        <w:t xml:space="preserve">3.1  Bayesian Decision Theory</w:t>
      </w:r>
    </w:p>
    <w:p>
      <w:pPr>
        <w:spacing w:after="120" w:before="60"/>
      </w:pPr>
      <w:r>
        <w:rPr>
          <w:rFonts w:ascii="Arial" w:cs="Arial" w:eastAsia="Arial" w:hAnsi="Arial"/>
          <w:sz w:val="20"/>
          <w:szCs w:val="20"/>
        </w:rPr>
        <w:t xml:space="preserve">The system is built on a single foundational principle: the optimal warning action is the one that minimises expected loss across all possible outcomes, weighted by their probability. Formally:</w:t>
      </w:r>
    </w:p>
    <w:p>
      <w:pPr>
        <w:spacing w:after="80" w:before="0"/>
      </w:pPr>
    </w:p>
    <w:tbl>
      <w:tblPr>
        <w:tblW w:type="dxa" w:w="9360"/>
        <w:tblBorders>
          <w:top w:val="single" w:color="FFFFFF" w:sz="0"/>
          <w:left w:val="single" w:color="FFFFFF" w:sz="0"/>
          <w:bottom w:val="single" w:color="FFFFFF" w:sz="0"/>
          <w:right w:val="single" w:color="FFFFFF" w:sz="0"/>
          <w:insideH w:val="single" w:color="auto" w:sz="4"/>
          <w:insideV w:val="single" w:color="auto" w:sz="4"/>
        </w:tblBorders>
      </w:tblPr>
      <w:tblGrid>
        <w:gridCol w:w="200"/>
        <w:gridCol w:w="9160"/>
      </w:tblGrid>
      <w:tr>
        <w:tc>
          <w:tcPr>
            <w:tcW w:type="dxa" w:w="200"/>
            <w:tcBorders>
              <w:top w:val="single" w:color="FFFFFF" w:sz="0"/>
              <w:left w:val="single" w:color="FFFFFF" w:sz="0"/>
              <w:bottom w:val="single" w:color="FFFFFF" w:sz="0"/>
              <w:right w:val="single" w:color="FFFFFF" w:sz="0"/>
            </w:tcBorders>
            <w:shd w:fill="006D77" w:val="clear"/>
          </w:tcPr>
          <w:p/>
        </w:tc>
        <w:tc>
          <w:tcPr>
            <w:tcW w:type="dxa" w:w="9160"/>
            <w:tcBorders>
              <w:top w:val="single" w:color="FFFFFF" w:sz="0"/>
              <w:left w:val="single" w:color="FFFFFF" w:sz="0"/>
              <w:bottom w:val="single" w:color="FFFFFF" w:sz="0"/>
              <w:right w:val="single" w:color="FFFFFF" w:sz="0"/>
            </w:tcBorders>
            <w:shd w:fill="E3F2FD" w:val="clear"/>
            <w:tcMar>
              <w:top w:type="dxa" w:w="120"/>
              <w:left w:type="dxa" w:w="200"/>
              <w:bottom w:type="dxa" w:w="120"/>
              <w:right w:type="dxa" w:w="120"/>
            </w:tcMar>
          </w:tcPr>
          <w:p>
            <w:pPr>
              <w:spacing w:after="60" w:before="0"/>
            </w:pPr>
            <w:r>
              <w:rPr>
                <w:rFonts w:ascii="Arial" w:cs="Arial" w:eastAsia="Arial" w:hAnsi="Arial"/>
                <w:i/>
                <w:iCs/>
                <w:sz w:val="20"/>
                <w:szCs w:val="20"/>
              </w:rPr>
              <w:t xml:space="preserve">a*(y) = argmin_a  Σ_x  L(a, x) · p(x | y)</w:t>
            </w:r>
          </w:p>
          <w:p>
            <w:pPr>
              <w:spacing w:after="60" w:before="0"/>
            </w:pPr>
            <w:r>
              <w:rPr>
                <w:rFonts w:ascii="Arial" w:cs="Arial" w:eastAsia="Arial" w:hAnsi="Arial"/>
                <w:i/>
                <w:iCs/>
                <w:sz w:val="20"/>
                <w:szCs w:val="20"/>
              </w:rPr>
              <w:t xml:space="preserve">where a is the warning action, x is the true hazard severity category, y is the forecast (the ensemble probability distribution), L(a,x) is the loss incurred by taking action a when state x occurs, and p(x|y) is the probability of state x given the forecast y. The optimal action a* minimises the sum of losses weighted by their ensemble-derived probabilities.</w:t>
            </w:r>
          </w:p>
        </w:tc>
      </w:tr>
    </w:tbl>
    <w:p>
      <w:pPr>
        <w:spacing w:after="120" w:before="0"/>
      </w:pPr>
    </w:p>
    <w:p>
      <w:pPr>
        <w:spacing w:after="120" w:before="60"/>
      </w:pPr>
      <w:r>
        <w:rPr>
          <w:rFonts w:ascii="Arial" w:cs="Arial" w:eastAsia="Arial" w:hAnsi="Arial"/>
          <w:sz w:val="20"/>
          <w:szCs w:val="20"/>
        </w:rPr>
        <w:t xml:space="preserve">This framework has three requirements: a probability distribution over future states, a loss function for each decision-state combination, and a decision rule. ECMWF ENS provides the first. Cost/loss analysis provides the second. The Bayes decision rule provides the third.</w:t>
      </w:r>
    </w:p>
    <w:p>
      <w:pPr>
        <w:spacing w:after="80" w:before="0"/>
      </w:pPr>
    </w:p>
    <w:p>
      <w:pPr>
        <w:pStyle w:val="Heading2"/>
        <w:spacing w:after="80" w:before="240"/>
      </w:pPr>
      <w:r>
        <w:rPr>
          <w:rFonts w:ascii="Arial" w:cs="Arial" w:eastAsia="Arial" w:hAnsi="Arial"/>
          <w:b/>
          <w:bCs/>
          <w:color w:val="006D77"/>
          <w:sz w:val="26"/>
          <w:szCs w:val="26"/>
        </w:rPr>
        <w:t xml:space="preserve">3.2  From Ensemble Members to Probability Categories</w:t>
      </w:r>
    </w:p>
    <w:p>
      <w:pPr>
        <w:spacing w:after="120" w:before="60"/>
      </w:pPr>
      <w:r>
        <w:rPr>
          <w:rFonts w:ascii="Arial" w:cs="Arial" w:eastAsia="Arial" w:hAnsi="Arial"/>
          <w:sz w:val="20"/>
          <w:szCs w:val="20"/>
        </w:rPr>
        <w:t xml:space="preserve">The ECMWF ENS provides 51 forecast realisations of Heat Index (or UTCI) at each grid point and time step. These are mapped to the four DoM severity categories by counting member exceedances: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180"/>
        <w:gridCol w:w="3180"/>
      </w:tblGrid>
      <w:tr>
        <w:tc>
          <w:tcPr>
            <w:tcW w:type="dxa" w:w="1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c>
          <w:tcPr>
            <w:tcW w:type="dxa" w:w="2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Heat Index Range</w:t>
            </w:r>
          </w:p>
        </w:tc>
        <w:tc>
          <w:tcPr>
            <w:tcW w:type="dxa" w:w="21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Probability</w:t>
            </w:r>
          </w:p>
        </w:tc>
        <w:tc>
          <w:tcPr>
            <w:tcW w:type="dxa" w:w="318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Interpretation</w:t>
            </w:r>
          </w:p>
        </w:tc>
      </w:tr>
      <w:tr>
        <w:tc>
          <w:tcPr>
            <w:tcW w:type="dxa" w:w="1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 Normal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27–38°C</w:t>
            </w:r>
          </w:p>
        </w:tc>
        <w:tc>
          <w:tcPr>
            <w:tcW w:type="dxa" w:w="2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p₁ = n₁ / 51</w:t>
            </w:r>
          </w:p>
        </w:tc>
        <w:tc>
          <w:tcPr>
            <w:tcW w:type="dxa" w:w="3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Fraction of members in the Normal band</w:t>
            </w:r>
          </w:p>
        </w:tc>
      </w:tr>
      <w:tr>
        <w:tc>
          <w:tcPr>
            <w:tcW w:type="dxa" w:w="1800"/>
            <w:tcBorders>
              <w:top w:val="single" w:color="CCCCCC" w:sz="4"/>
              <w:left w:val="single" w:color="CCCCCC" w:sz="4"/>
              <w:bottom w:val="single" w:color="CCCCCC" w:sz="4"/>
              <w:right w:val="single" w:color="CCCCCC" w:sz="4"/>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 Caution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39–45°C</w:t>
            </w:r>
          </w:p>
        </w:tc>
        <w:tc>
          <w:tcPr>
            <w:tcW w:type="dxa" w:w="2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p₂ = n₂ / 51</w:t>
            </w:r>
          </w:p>
        </w:tc>
        <w:tc>
          <w:tcPr>
            <w:tcW w:type="dxa" w:w="3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Fraction of members in Caution band</w:t>
            </w:r>
          </w:p>
        </w:tc>
      </w:tr>
      <w:tr>
        <w:tc>
          <w:tcPr>
            <w:tcW w:type="dxa" w:w="1800"/>
            <w:tcBorders>
              <w:top w:val="single" w:color="CCCCCC" w:sz="4"/>
              <w:left w:val="single" w:color="CCCCCC" w:sz="4"/>
              <w:bottom w:val="single" w:color="CCCCCC" w:sz="4"/>
              <w:right w:val="single" w:color="CCCCCC" w:sz="4"/>
            </w:tcBorders>
            <w:shd w:fill="FBE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 Extreme Caution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46–51°C</w:t>
            </w:r>
          </w:p>
        </w:tc>
        <w:tc>
          <w:tcPr>
            <w:tcW w:type="dxa" w:w="2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p₃ = n₃ / 51</w:t>
            </w:r>
          </w:p>
        </w:tc>
        <w:tc>
          <w:tcPr>
            <w:tcW w:type="dxa" w:w="3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Fraction of members in Extreme Caution band</w:t>
            </w:r>
          </w:p>
        </w:tc>
      </w:tr>
      <w:tr>
        <w:tc>
          <w:tcPr>
            <w:tcW w:type="dxa" w:w="18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 — Danger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52°C</w:t>
            </w:r>
          </w:p>
        </w:tc>
        <w:tc>
          <w:tcPr>
            <w:tcW w:type="dxa" w:w="2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p₄ = n₄ / 51</w:t>
            </w:r>
          </w:p>
        </w:tc>
        <w:tc>
          <w:tcPr>
            <w:tcW w:type="dxa" w:w="3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Fraction of members exceeding Danger threshold</w:t>
            </w:r>
          </w:p>
        </w:tc>
      </w:tr>
    </w:tbl>
    <w:p>
      <w:pPr>
        <w:spacing w:after="120" w:before="0"/>
      </w:pPr>
    </w:p>
    <w:p>
      <w:pPr>
        <w:spacing w:after="120" w:before="60"/>
      </w:pPr>
      <w:r>
        <w:rPr>
          <w:rFonts w:ascii="Arial" w:cs="Arial" w:eastAsia="Arial" w:hAnsi="Arial"/>
          <w:sz w:val="20"/>
          <w:szCs w:val="20"/>
        </w:rPr>
        <w:t xml:space="preserve">The four probabilities sum to 1 and constitute the forecast probability vector p = (p₁, p₂, p₃, p₄). This is the input to the Bayesian decision rule. At no point does a single deterministic value enter the decision chain.</w:t>
      </w:r>
    </w:p>
    <w:p>
      <w:pPr>
        <w:spacing w:after="80" w:before="0"/>
      </w:pPr>
    </w:p>
    <w:p>
      <w:pPr>
        <w:pStyle w:val="Heading2"/>
        <w:spacing w:after="80" w:before="240"/>
      </w:pPr>
      <w:r>
        <w:rPr>
          <w:rFonts w:ascii="Arial" w:cs="Arial" w:eastAsia="Arial" w:hAnsi="Arial"/>
          <w:b/>
          <w:bCs/>
          <w:color w:val="006D77"/>
          <w:sz w:val="26"/>
          <w:szCs w:val="26"/>
        </w:rPr>
        <w:t xml:space="preserve">3.3  Bayesian Calibration Against Climatology</w:t>
      </w:r>
    </w:p>
    <w:p>
      <w:pPr>
        <w:spacing w:after="120" w:before="60"/>
      </w:pPr>
      <w:r>
        <w:rPr>
          <w:rFonts w:ascii="Arial" w:cs="Arial" w:eastAsia="Arial" w:hAnsi="Arial"/>
          <w:sz w:val="20"/>
          <w:szCs w:val="20"/>
        </w:rPr>
        <w:t xml:space="preserve">Raw ENS member frequencies are an imperfect probability estimate. ECMWF ENS is known to be under-dispersive in certain regimes (too confident) and its bias characteristics over Sri Lanka are not the same as over Europe where the model is best validated. Bayesian calibration addresses this by combining the ensemble signal with the climatological prior — the historically observed frequency of each severity category for this time of year at Colombo.</w:t>
      </w:r>
    </w:p>
    <w:p>
      <w:pPr>
        <w:spacing w:after="80" w:before="0"/>
      </w:pPr>
    </w:p>
    <w:tbl>
      <w:tblPr>
        <w:tblW w:type="dxa" w:w="9360"/>
        <w:tblBorders>
          <w:top w:val="single" w:color="FFFFFF" w:sz="0"/>
          <w:left w:val="single" w:color="FFFFFF" w:sz="0"/>
          <w:bottom w:val="single" w:color="FFFFFF" w:sz="0"/>
          <w:right w:val="single" w:color="FFFFFF" w:sz="0"/>
          <w:insideH w:val="single" w:color="auto" w:sz="4"/>
          <w:insideV w:val="single" w:color="auto" w:sz="4"/>
        </w:tblBorders>
      </w:tblPr>
      <w:tblGrid>
        <w:gridCol w:w="200"/>
        <w:gridCol w:w="9160"/>
      </w:tblGrid>
      <w:tr>
        <w:tc>
          <w:tcPr>
            <w:tcW w:type="dxa" w:w="200"/>
            <w:tcBorders>
              <w:top w:val="single" w:color="FFFFFF" w:sz="0"/>
              <w:left w:val="single" w:color="FFFFFF" w:sz="0"/>
              <w:bottom w:val="single" w:color="FFFFFF" w:sz="0"/>
              <w:right w:val="single" w:color="FFFFFF" w:sz="0"/>
            </w:tcBorders>
            <w:shd w:fill="006D77" w:val="clear"/>
          </w:tcPr>
          <w:p/>
        </w:tc>
        <w:tc>
          <w:tcPr>
            <w:tcW w:type="dxa" w:w="9160"/>
            <w:tcBorders>
              <w:top w:val="single" w:color="FFFFFF" w:sz="0"/>
              <w:left w:val="single" w:color="FFFFFF" w:sz="0"/>
              <w:bottom w:val="single" w:color="FFFFFF" w:sz="0"/>
              <w:right w:val="single" w:color="FFFFFF" w:sz="0"/>
            </w:tcBorders>
            <w:shd w:fill="E3F2FD" w:val="clear"/>
            <w:tcMar>
              <w:top w:type="dxa" w:w="120"/>
              <w:left w:type="dxa" w:w="200"/>
              <w:bottom w:type="dxa" w:w="120"/>
              <w:right w:type="dxa" w:w="120"/>
            </w:tcMar>
          </w:tcPr>
          <w:p>
            <w:pPr>
              <w:spacing w:after="60" w:before="0"/>
            </w:pPr>
            <w:r>
              <w:rPr>
                <w:rFonts w:ascii="Arial" w:cs="Arial" w:eastAsia="Arial" w:hAnsi="Arial"/>
                <w:i/>
                <w:iCs/>
                <w:sz w:val="20"/>
                <w:szCs w:val="20"/>
              </w:rPr>
              <w:t xml:space="preserve">p_calibrated(x) ∝ p_prior(x) · p_ENS(y | x)</w:t>
            </w:r>
          </w:p>
          <w:p>
            <w:pPr>
              <w:spacing w:after="60" w:before="0"/>
            </w:pPr>
            <w:r>
              <w:rPr>
                <w:rFonts w:ascii="Arial" w:cs="Arial" w:eastAsia="Arial" w:hAnsi="Arial"/>
                <w:i/>
                <w:iCs/>
                <w:sz w:val="20"/>
                <w:szCs w:val="20"/>
              </w:rPr>
              <w:t xml:space="preserve">The posterior probability of category x given the ENS forecast y is proportional to the climatological frequency of x (prior) multiplied by the likelihood that the ENS would produce forecast y if x were the true state (likelihood). This corrects for ENS bias and returns probabilities that are statistically consistent with the observed historical record.</w:t>
            </w:r>
          </w:p>
        </w:tc>
      </w:tr>
    </w:tbl>
    <w:p>
      <w:pPr>
        <w:spacing w:after="120" w:before="0"/>
      </w:pPr>
    </w:p>
    <w:p>
      <w:pPr>
        <w:spacing w:after="120" w:before="60"/>
      </w:pPr>
      <w:r>
        <w:rPr>
          <w:rFonts w:ascii="Arial" w:cs="Arial" w:eastAsia="Arial" w:hAnsi="Arial"/>
          <w:sz w:val="20"/>
          <w:szCs w:val="20"/>
        </w:rPr>
        <w:t xml:space="preserve">Calibration requires historical data: station observations of Heat Index at Colombo matched with the corresponding ECMWF ENS archive (ECMWF provides reforecast data for this purpose). Once fitted, the calibration is updated annually as each new season’s observations become available.</w:t>
      </w:r>
    </w:p>
    <w:p>
      <w:pPr>
        <w:spacing w:after="80" w:before="0"/>
      </w:pPr>
    </w:p>
    <w:p>
      <w:pPr>
        <w:pStyle w:val="Heading2"/>
        <w:spacing w:after="80" w:before="240"/>
      </w:pPr>
      <w:r>
        <w:rPr>
          <w:rFonts w:ascii="Arial" w:cs="Arial" w:eastAsia="Arial" w:hAnsi="Arial"/>
          <w:b/>
          <w:bCs/>
          <w:color w:val="006D77"/>
          <w:sz w:val="26"/>
          <w:szCs w:val="26"/>
        </w:rPr>
        <w:t xml:space="preserve">3.4  The Three-Model Architecture</w:t>
      </w:r>
    </w:p>
    <w:p>
      <w:pPr>
        <w:spacing w:after="120" w:before="60"/>
      </w:pPr>
      <w:r>
        <w:rPr>
          <w:rFonts w:ascii="Arial" w:cs="Arial" w:eastAsia="Arial" w:hAnsi="Arial"/>
          <w:sz w:val="20"/>
          <w:szCs w:val="20"/>
        </w:rPr>
        <w:t xml:space="preserve">The system implements three forecasting configurations, reflecting different levels of data availability and operational maturity: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c>
          <w:tcPr>
            <w:tcW w:type="dxa" w:w="16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w:t>
            </w:r>
          </w:p>
        </w:tc>
        <w:tc>
          <w:tcPr>
            <w:tcW w:type="dxa" w:w="2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Input</w:t>
            </w:r>
          </w:p>
        </w:tc>
        <w:tc>
          <w:tcPr>
            <w:tcW w:type="dxa" w:w="24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Method</w:t>
            </w:r>
          </w:p>
        </w:tc>
        <w:tc>
          <w:tcPr>
            <w:tcW w:type="dxa" w:w="3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CLIM
Climatological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Station observations only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Historical frequency of each severity category by day-of-year</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Establishes the seasonal baseline. Updated by seasonal tercile outlook at season onset. Provides the Bayesian prior.</w:t>
            </w:r>
          </w:p>
        </w:tc>
      </w:tr>
      <w:tr>
        <w:tc>
          <w:tcPr>
            <w:tcW w:type="dxa" w:w="1600"/>
            <w:tcBorders>
              <w:top w:val="single" w:color="CCCCCC" w:sz="4"/>
              <w:left w:val="single" w:color="CCCCCC" w:sz="4"/>
              <w:bottom w:val="single" w:color="CCCCCC" w:sz="4"/>
              <w:right w:val="single" w:color="CCCCCC" w:sz="4"/>
            </w:tcBorders>
            <w:shd w:fill="E0F7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CAL
Calibrated ENS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ECMWF ENS + station observations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Bayesian posterior: CLIM prior updated by ENS member frequencies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 operational model. Corrects ENS bias using the local climatological record. Recommended for all warning decisions.</w:t>
            </w:r>
          </w:p>
        </w:tc>
      </w:tr>
      <w:tr>
        <w:tc>
          <w:tcPr>
            <w:tcW w:type="dxa" w:w="16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ENS
Raw Ensemble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ECMWF ENS only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Raw member exceedance frequencies with no calibration adjustment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Benchmarking only. Quantifies the value added by calibration. Not recommended for operational warning decisions in the absence of verification.</w:t>
            </w:r>
          </w:p>
        </w:tc>
      </w:tr>
    </w:tbl>
    <w:p>
      <w:pPr>
        <w:spacing w:after="120" w:before="0"/>
      </w:pPr>
    </w:p>
    <w:p>
      <w:pPr>
        <w:spacing w:after="120" w:before="60"/>
      </w:pPr>
      <w:r>
        <w:rPr>
          <w:rFonts w:ascii="Arial" w:cs="Arial" w:eastAsia="Arial" w:hAnsi="Arial"/>
          <w:sz w:val="20"/>
          <w:szCs w:val="20"/>
        </w:rPr>
        <w:t xml:space="preserve">The CAL model is the operational target. The ENS model serves as the reference against which calibration adds value. The CLIM model provides the prior that gives CAL its local grounding. All three are implemented and verified in the Python tool; Brier scores, Probability of Detection (POD), False Alarm Rate (FAR), and Critical Success Index (CSI) are computed automatically after each season.</w:t>
      </w:r>
    </w:p>
    <w:p>
      <w:pPr>
        <w:spacing w:after="80" w:before="0"/>
      </w:pPr>
    </w:p>
    <w:p>
      <w:pPr>
        <w:pStyle w:val="Heading2"/>
        <w:spacing w:after="80" w:before="240"/>
      </w:pPr>
      <w:r>
        <w:rPr>
          <w:rFonts w:ascii="Arial" w:cs="Arial" w:eastAsia="Arial" w:hAnsi="Arial"/>
          <w:b/>
          <w:bCs/>
          <w:color w:val="006D77"/>
          <w:sz w:val="26"/>
          <w:szCs w:val="26"/>
        </w:rPr>
        <w:t xml:space="preserve">3.5  The Power-Law Loss Function</w:t>
      </w:r>
    </w:p>
    <w:p>
      <w:pPr>
        <w:spacing w:after="120" w:before="60"/>
      </w:pPr>
      <w:r>
        <w:rPr>
          <w:rFonts w:ascii="Arial" w:cs="Arial" w:eastAsia="Arial" w:hAnsi="Arial"/>
          <w:sz w:val="20"/>
          <w:szCs w:val="20"/>
        </w:rPr>
        <w:t xml:space="preserve">Loss is modelled as a power-law function of hazard severity, reflecting the empirical reality that heat impacts accelerate non-linearly with temperature — a Heat Index of 52°C is not merely 12% worse than 46°C, it is qualitatively more dangerous:</w:t>
      </w:r>
    </w:p>
    <w:p>
      <w:pPr>
        <w:spacing w:after="80" w:before="0"/>
      </w:pPr>
    </w:p>
    <w:tbl>
      <w:tblPr>
        <w:tblW w:type="dxa" w:w="9360"/>
        <w:tblBorders>
          <w:top w:val="single" w:color="FFFFFF" w:sz="0"/>
          <w:left w:val="single" w:color="FFFFFF" w:sz="0"/>
          <w:bottom w:val="single" w:color="FFFFFF" w:sz="0"/>
          <w:right w:val="single" w:color="FFFFFF" w:sz="0"/>
          <w:insideH w:val="single" w:color="auto" w:sz="4"/>
          <w:insideV w:val="single" w:color="auto" w:sz="4"/>
        </w:tblBorders>
      </w:tblPr>
      <w:tblGrid>
        <w:gridCol w:w="200"/>
        <w:gridCol w:w="9160"/>
      </w:tblGrid>
      <w:tr>
        <w:tc>
          <w:tcPr>
            <w:tcW w:type="dxa" w:w="200"/>
            <w:tcBorders>
              <w:top w:val="single" w:color="FFFFFF" w:sz="0"/>
              <w:left w:val="single" w:color="FFFFFF" w:sz="0"/>
              <w:bottom w:val="single" w:color="FFFFFF" w:sz="0"/>
              <w:right w:val="single" w:color="FFFFFF" w:sz="0"/>
            </w:tcBorders>
            <w:shd w:fill="006D77" w:val="clear"/>
          </w:tcPr>
          <w:p/>
        </w:tc>
        <w:tc>
          <w:tcPr>
            <w:tcW w:type="dxa" w:w="9160"/>
            <w:tcBorders>
              <w:top w:val="single" w:color="FFFFFF" w:sz="0"/>
              <w:left w:val="single" w:color="FFFFFF" w:sz="0"/>
              <w:bottom w:val="single" w:color="FFFFFF" w:sz="0"/>
              <w:right w:val="single" w:color="FFFFFF" w:sz="0"/>
            </w:tcBorders>
            <w:shd w:fill="E3F2FD" w:val="clear"/>
            <w:tcMar>
              <w:top w:type="dxa" w:w="120"/>
              <w:left w:type="dxa" w:w="200"/>
              <w:bottom w:type="dxa" w:w="120"/>
              <w:right w:type="dxa" w:w="120"/>
            </w:tcMar>
          </w:tcPr>
          <w:p>
            <w:pPr>
              <w:spacing w:after="60" w:before="0"/>
            </w:pPr>
            <w:r>
              <w:rPr>
                <w:rFonts w:ascii="Arial" w:cs="Arial" w:eastAsia="Arial" w:hAnsi="Arial"/>
                <w:i/>
                <w:iCs/>
                <w:sz w:val="20"/>
                <w:szCs w:val="20"/>
              </w:rPr>
              <w:t xml:space="preserve">L(a, x) = C(a) + Lᵣ(a) · D(x)^γᵈ</w:t>
            </w:r>
          </w:p>
          <w:p>
            <w:pPr>
              <w:spacing w:after="60" w:before="0"/>
            </w:pPr>
            <w:r>
              <w:rPr>
                <w:rFonts w:ascii="Arial" w:cs="Arial" w:eastAsia="Arial" w:hAnsi="Arial"/>
                <w:i/>
                <w:iCs/>
                <w:sz w:val="20"/>
                <w:szCs w:val="20"/>
              </w:rPr>
              <w:t xml:space="preserve">C(a): fixed cost of taking protective action a (the false-alarm cost). Lᵣ(a): loss if action a is taken when state x occurs (the miss cost). D(x): damage potential of severity category x (1–4). γᵈ: power-law exponent — values above 1 mean damage accelerates with severity.</w:t>
            </w:r>
          </w:p>
        </w:tc>
      </w:tr>
    </w:tbl>
    <w:p>
      <w:pPr>
        <w:spacing w:after="120" w:before="0"/>
      </w:pPr>
    </w:p>
    <w:p>
      <w:pPr>
        <w:pStyle w:val="Heading1"/>
        <w:spacing w:after="120" w:before="360"/>
      </w:pPr>
      <w:r>
        <w:rPr>
          <w:rFonts w:ascii="Arial" w:cs="Arial" w:eastAsia="Arial" w:hAnsi="Arial"/>
          <w:b/>
          <w:bCs/>
          <w:color w:val="1B3A6B"/>
          <w:sz w:val="32"/>
          <w:szCs w:val="32"/>
        </w:rPr>
        <w:t xml:space="preserve">4.  The Three-Tier Warning Architecture</w:t>
      </w:r>
    </w:p>
    <w:p>
      <w:pPr>
        <w:pBdr>
          <w:bottom w:val="single" w:color="1B3A6B" w:sz="6" w:space="1"/>
        </w:pBdr>
        <w:spacing w:after="0" w:before="0"/>
      </w:pPr>
    </w:p>
    <w:p>
      <w:pPr>
        <w:spacing w:after="80" w:before="0"/>
      </w:pPr>
    </w:p>
    <w:tbl>
      <w:tblPr>
        <w:tblW w:type="dxa" w:w="9360"/>
        <w:tblBorders>
          <w:top w:val="single" w:color="FFFFFF" w:sz="0"/>
          <w:left w:val="single" w:color="FFFFFF" w:sz="0"/>
          <w:bottom w:val="single" w:color="FFFFFF" w:sz="0"/>
          <w:right w:val="single" w:color="FFFFFF" w:sz="0"/>
          <w:insideH w:val="single" w:color="auto" w:sz="4"/>
          <w:insideV w:val="single" w:color="auto" w:sz="4"/>
        </w:tblBorders>
      </w:tblPr>
      <w:tblGrid>
        <w:gridCol w:w="200"/>
        <w:gridCol w:w="9160"/>
      </w:tblGrid>
      <w:tr>
        <w:tc>
          <w:tcPr>
            <w:tcW w:type="dxa" w:w="200"/>
            <w:tcBorders>
              <w:top w:val="single" w:color="FFFFFF" w:sz="0"/>
              <w:left w:val="single" w:color="FFFFFF" w:sz="0"/>
              <w:bottom w:val="single" w:color="FFFFFF" w:sz="0"/>
              <w:right w:val="single" w:color="FFFFFF" w:sz="0"/>
            </w:tcBorders>
            <w:shd w:fill="006D77" w:val="clear"/>
          </w:tcPr>
          <w:p/>
        </w:tc>
        <w:tc>
          <w:tcPr>
            <w:tcW w:type="dxa" w:w="9160"/>
            <w:tcBorders>
              <w:top w:val="single" w:color="FFFFFF" w:sz="0"/>
              <w:left w:val="single" w:color="FFFFFF" w:sz="0"/>
              <w:bottom w:val="single" w:color="FFFFFF" w:sz="0"/>
              <w:right w:val="single" w:color="FFFFFF" w:sz="0"/>
            </w:tcBorders>
            <w:shd w:fill="E0F7FA" w:val="clear"/>
            <w:tcMar>
              <w:top w:type="dxa" w:w="120"/>
              <w:left w:type="dxa" w:w="200"/>
              <w:bottom w:type="dxa" w:w="120"/>
              <w:right w:type="dxa" w:w="120"/>
            </w:tcMar>
          </w:tcPr>
          <w:p>
            <w:pPr>
              <w:spacing w:after="60" w:before="0"/>
            </w:pPr>
            <w:r>
              <w:rPr>
                <w:rFonts w:ascii="Arial" w:cs="Arial" w:eastAsia="Arial" w:hAnsi="Arial"/>
                <w:i/>
                <w:iCs/>
                <w:sz w:val="20"/>
                <w:szCs w:val="20"/>
              </w:rPr>
              <w:t xml:space="preserve">The central innovation is that ensemble probabilities drive three distinct but linked outputs: the Official Meteorological Warning (Tier 1) issued by DoM to the public; the Balanced Sectoral Warning (Tier 2), which incorporates the collective vulnerability of heat-sensitive sectors; and Sector-Specific Decision Thresholds (Tier 3) derived from each sector’s own cost/loss profile. These serve different purposes, carry different authorities, and activate at different probability levels. Both are derived entirely from the ECMWF ENS — no deterministic value enters either chain.</w:t>
            </w:r>
          </w:p>
        </w:tc>
      </w:tr>
    </w:tbl>
    <w:p>
      <w:pPr>
        <w:spacing w:after="120" w:before="0"/>
      </w:pPr>
    </w:p>
    <w:p>
      <w:pPr>
        <w:pStyle w:val="Heading2"/>
        <w:spacing w:after="80" w:before="240"/>
      </w:pPr>
      <w:r>
        <w:rPr>
          <w:rFonts w:ascii="Arial" w:cs="Arial" w:eastAsia="Arial" w:hAnsi="Arial"/>
          <w:b/>
          <w:bCs/>
          <w:color w:val="006D77"/>
          <w:sz w:val="26"/>
          <w:szCs w:val="26"/>
        </w:rPr>
        <w:t>4.1  Tier 1 — Hazard Warning</w:t>
      </w:r>
    </w:p>
    <w:p>
      <w:pPr>
        <w:spacing w:after="120" w:before="60"/>
      </w:pPr>
      <w:r>
        <w:rPr>
          <w:rFonts w:ascii="Arial" w:cs="Arial" w:eastAsia="Arial" w:hAnsi="Arial"/>
          <w:sz w:val="20"/>
          <w:szCs w:val="20"/>
        </w:rPr>
        <w:t xml:space="preserve">The official warning is DoM’s public communication, issued under its statutory authority and anchored to the national Heat Index classification (2018). The Bayesian system enhances — but does not replace — this classification by deriving the warning level from calibrated ensemble probabilities rather than from a deterministic forecast crossing a threshold.</w:t>
      </w:r>
    </w:p>
    <w:p>
      <w:pPr>
        <w:spacing w:after="80" w:before="0"/>
      </w:pPr>
    </w:p>
    <w:p>
      <w:pPr>
        <w:pStyle w:val="Heading3"/>
        <w:spacing w:after="60" w:before="160"/>
      </w:pPr>
      <w:r>
        <w:rPr>
          <w:rFonts w:ascii="Arial" w:cs="Arial" w:eastAsia="Arial" w:hAnsi="Arial"/>
          <w:b/>
          <w:bCs/>
          <w:color w:val="424242"/>
          <w:sz w:val="22"/>
          <w:szCs w:val="22"/>
        </w:rPr>
        <w:t xml:space="preserve">Determining the Official Warning Level</w:t>
      </w:r>
    </w:p>
    <w:p>
      <w:pPr>
        <w:spacing w:after="120" w:before="60"/>
      </w:pPr>
      <w:r>
        <w:rPr>
          <w:rFonts w:ascii="Arial" w:cs="Arial" w:eastAsia="Arial" w:hAnsi="Arial"/>
          <w:sz w:val="20"/>
          <w:szCs w:val="20"/>
        </w:rPr>
        <w:t xml:space="preserve">The CAL model produces the probability vector p = (p₁, p₂, p₃, p₄) from the ECMWF ENS. The Bayes decision rule is applied using balanced sector loss parameters — a population-weighted average across all sectors — to identify the warning level that minimises aggregate expected societal loss. The result is the optimal official warning: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Official Level</w:t>
            </w:r>
          </w:p>
        </w:tc>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Indicative ENS Trigger</w:t>
            </w:r>
          </w:p>
        </w:tc>
        <w:tc>
          <w:tcPr>
            <w:tcW w:type="dxa" w:w="39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DoM Communication</w:t>
            </w:r>
          </w:p>
        </w:tc>
      </w:tr>
      <w:tr>
        <w:tc>
          <w:tcPr>
            <w:tcW w:type="dxa" w:w="24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GREEN — No Warning</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P(cat≥2) &lt; 25%</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public alert. Routine seasonal bulletin. Internal monitoring.</w:t>
            </w:r>
          </w:p>
        </w:tc>
      </w:tr>
      <w:tr>
        <w:tc>
          <w:tcPr>
            <w:tcW w:type="dxa" w:w="2400"/>
            <w:tcBorders>
              <w:top w:val="single" w:color="CCCCCC" w:sz="4"/>
              <w:left w:val="single" w:color="CCCCCC" w:sz="4"/>
              <w:bottom w:val="single" w:color="CCCCCC" w:sz="4"/>
              <w:right w:val="single" w:color="CCCCCC" w:sz="4"/>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YELLOW — Heat Watch</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P(cat≥2) ≥ 25%</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Public awareness advisory. Media release. Sector focal points notified T+48h.</w:t>
            </w:r>
          </w:p>
        </w:tc>
      </w:tr>
      <w:tr>
        <w:tc>
          <w:tcPr>
            <w:tcW w:type="dxa" w:w="2400"/>
            <w:tcBorders>
              <w:top w:val="single" w:color="CCCCCC" w:sz="4"/>
              <w:left w:val="single" w:color="CCCCCC" w:sz="4"/>
              <w:bottom w:val="single" w:color="CCCCCC" w:sz="4"/>
              <w:right w:val="single" w:color="CCCCCC" w:sz="4"/>
            </w:tcBorders>
            <w:shd w:fill="FBE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AMBER — Heat Alert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P(cat≥3) ≥ 40%</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Formal alert. DMC activated. Sector action cards circulated T+24h.</w:t>
            </w:r>
          </w:p>
        </w:tc>
      </w:tr>
      <w:tr>
        <w:tc>
          <w:tcPr>
            <w:tcW w:type="dxa" w:w="24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 — Heat Warning</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P(cat=4) ≥ 30%</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Emergency warning. Full-sector activation. Public broadcast. Minister notified T+0.</w:t>
            </w:r>
          </w:p>
        </w:tc>
      </w:tr>
    </w:tbl>
    <w:p>
      <w:pPr>
        <w:spacing w:after="80" w:before="0"/>
      </w:pPr>
    </w:p>
    <w:p>
      <w:pPr>
        <w:spacing w:after="120" w:before="60"/>
      </w:pPr>
      <w:r>
        <w:rPr>
          <w:rFonts w:ascii="Arial" w:cs="Arial" w:eastAsia="Arial" w:hAnsi="Arial"/>
          <w:sz w:val="20"/>
          <w:szCs w:val="20"/>
        </w:rPr>
        <w:t xml:space="preserve">The probability triggers above are computed from the calibrated loss matrix, not set by hand. They will shift slightly as the calibration is fitted to Colombo station data. The critical point is that the triggers are derived from ensemble probabilities: a Green level means the ensemble is confident that conditions will remain manageable; a Red level means a significant fraction of the 51 ensemble members is pointing to Danger-category heat.</w:t>
      </w:r>
    </w:p>
    <w:p>
      <w:pPr>
        <w:spacing w:after="80" w:before="0"/>
      </w:pPr>
    </w:p>
    <w:p>
      <w:pPr>
        <w:pStyle w:val="Heading3"/>
        <w:spacing w:after="60" w:before="160"/>
      </w:pPr>
      <w:r>
        <w:rPr>
          <w:rFonts w:ascii="Arial" w:cs="Arial" w:eastAsia="Arial" w:hAnsi="Arial"/>
          <w:b/>
          <w:bCs/>
          <w:color w:val="424242"/>
          <w:sz w:val="22"/>
          <w:szCs w:val="22"/>
        </w:rPr>
        <w:t xml:space="preserve">The Value of Ensemble-Based Warning Levels</w:t>
      </w:r>
    </w:p>
    <w:p>
      <w:pPr>
        <w:spacing w:after="120" w:before="60"/>
      </w:pPr>
      <w:r>
        <w:rPr>
          <w:rFonts w:ascii="Arial" w:cs="Arial" w:eastAsia="Arial" w:hAnsi="Arial"/>
          <w:sz w:val="20"/>
          <w:szCs w:val="20"/>
        </w:rPr>
        <w:t xml:space="preserve">By grounding the official warning in ensemble probabilities, the system communicates forecast confidence alongside the warning level itself. A Red warning issued when 45 of 51 ensemble members point to Danger carries very different meaning — and warrants a different institutional response — than one issued when 16 of 51 members do. The ensemble makes this distinction explicit and traceable. Over time, as DoM publishes its verification scores, the relationship between warning levels and observed outcomes builds public and institutional trust in the system.</w:t>
      </w:r>
    </w:p>
    <w:p>
      <w:pPr>
        <w:spacing w:after="120" w:before="0"/>
      </w:pPr>
    </w:p>
    <w:p>
      <w:pPr>
        <w:pStyle w:val="Heading2"/>
        <w:spacing w:after="80" w:before="240"/>
      </w:pPr>
      <w:r>
        <w:rPr>
          <w:rFonts w:ascii="Arial" w:cs="Arial" w:eastAsia="Arial" w:hAnsi="Arial"/>
          <w:b/>
          <w:bCs/>
          <w:color w:val="006D77"/>
          <w:sz w:val="26"/>
          <w:szCs w:val="26"/>
        </w:rPr>
        <w:t>4.2  Tier 2 — Impact Advisory</w:t>
      </w:r>
    </w:p>
    <w:p>
      <w:pPr>
        <w:spacing w:after="120" w:before="60"/>
      </w:pPr>
      <w:r>
        <w:rPr>
          <w:rFonts w:ascii="Arial" w:cs="Arial" w:eastAsia="Arial" w:hAnsi="Arial"/>
          <w:sz w:val="20"/>
          <w:szCs w:val="20"/>
        </w:rPr>
        <w:t>Between the official meteorological broadcast and fully customised sector-specific decisions sits a critical intermediate tier: the Impact Advisory. This represents the forecaster’s best estimate of collective societal vulnerability — what the public warning should reflect when sector-specific loss data is not available, but generic knowledge of sectoral heat sensitivity is incorporated.</w:t>
      </w:r>
    </w:p>
    <w:p>
      <w:pPr>
        <w:pStyle w:val="Heading3"/>
        <w:spacing w:after="60" w:before="180"/>
      </w:pPr>
      <w:r>
        <w:rPr>
          <w:rFonts w:ascii="Arial" w:cs="Arial" w:eastAsia="Arial" w:hAnsi="Arial"/>
          <w:b/>
          <w:bCs/>
          <w:sz w:val="22"/>
          <w:szCs w:val="22"/>
        </w:rPr>
        <w:t xml:space="preserve">Calibration</w:t>
      </w:r>
    </w:p>
    <w:p>
      <w:pPr>
        <w:spacing w:after="120" w:before="60"/>
      </w:pPr>
      <w:r>
        <w:rPr>
          <w:rFonts w:ascii="Arial" w:cs="Arial" w:eastAsia="Arial" w:hAnsi="Arial"/>
          <w:sz w:val="20"/>
          <w:szCs w:val="20"/>
        </w:rPr>
        <w:t xml:space="preserve">The Balanced threshold is derived from the mean cost/loss parameters of the six sectors with the highest acute heat sensitivity: Health Services, Outdoor Labour, Disaster Management, Garment &amp; Apparel (EPZ factory floors), Tourism and Hospitality, and Energy and Utilities. This gives a Bayes-optimal threshold of p ≈ 0.37 — meaning protective action is optimal when the ensemble probability of damaging heat exceeds 37%. This is deliberately more precautionary than the conventional Generic Forecaster threshold of p = 0.50, reflecting the reality that the population most at risk from heat acts optimally at a lower probability than a neutral institutional default.</w:t>
      </w:r>
    </w:p>
    <w:p>
      <w:pPr>
        <w:pStyle w:val="Heading3"/>
        <w:spacing w:after="60" w:before="180"/>
      </w:pPr>
      <w:r>
        <w:rPr>
          <w:rFonts w:ascii="Arial" w:cs="Arial" w:eastAsia="Arial" w:hAnsi="Arial"/>
          <w:b/>
          <w:bCs/>
          <w:sz w:val="22"/>
          <w:szCs w:val="22"/>
        </w:rPr>
        <w:t xml:space="preserve">Sectors Excluded from the Balanced Calibration</w:t>
      </w:r>
    </w:p>
    <w:p>
      <w:pPr>
        <w:spacing w:after="120" w:before="60"/>
      </w:pPr>
      <w:r>
        <w:rPr>
          <w:rFonts w:ascii="Arial" w:cs="Arial" w:eastAsia="Arial" w:hAnsi="Arial"/>
          <w:sz w:val="20"/>
          <w:szCs w:val="20"/>
        </w:rPr>
        <w:t xml:space="preserve">Education and Agriculture are excluded from the Balanced calibration, though they remain visible in the sector comparison table for reference. Education has high institutional adaptive capacity — school closure decisions are made locally, heat exposure is time-bounded, and the high Bayes-optimal threshold (p ≈ 0.97) reflects that false-alarm costs (disruptive closures) are disproportionately high relative to acute single-event miss-losses. Agriculture’s response to heat is primarily seasonal — irrigation scheduling, planting calendars, varietal choices — rather than event-driven; its Bayes-optimal threshold exceeds 1.0, meaning expected false-alarm costs structurally outweigh miss-losses for any single-event warning. Both sectors should receive tailored seasonal advisories, not anchor the population-level event warning threshold.</w:t>
      </w:r>
    </w:p>
    <w:p>
      <w:pPr>
        <w:pStyle w:val="Heading3"/>
        <w:spacing w:after="60" w:before="180"/>
      </w:pPr>
      <w:r>
        <w:rPr>
          <w:rFonts w:ascii="Arial" w:cs="Arial" w:eastAsia="Arial" w:hAnsi="Arial"/>
          <w:b/>
          <w:bCs/>
          <w:sz w:val="22"/>
          <w:szCs w:val="22"/>
        </w:rPr>
        <w:t xml:space="preserve">The Role of Tier 2 in the Warning Chain</w:t>
      </w:r>
    </w:p>
    <w:p>
      <w:pPr>
        <w:spacing w:after="120" w:before="60"/>
      </w:pPr>
      <w:r>
        <w:rPr>
          <w:rFonts w:ascii="Arial" w:cs="Arial" w:eastAsia="Arial" w:hAnsi="Arial"/>
          <w:sz w:val="20"/>
          <w:szCs w:val="20"/>
        </w:rPr>
        <w:t xml:space="preserve">Tier 2 is always computed from the fixed Balanced parameters, regardless of which sector is selected in the analysis tools. It answers the question: ‘what should the forecaster issue to all sectors collectively, informed by their generic heat vulnerability, before any sector has provided its own loss data?’ For sectors that have not quantified their own cost/loss profile, the Balanced warning is the operationally appropriate default for Tier 3 as well. When a specific sector has calibrated its own parameters, the gap between Tier 2 (Balanced) and Tier 3 (sector-specific) quantifies the additional precaution — or the margin to de-escalate — that the sector’s own loss structure justifies.</w:t>
      </w:r>
    </w:p>
    <w:p>
      <w:pPr>
        <w:pStyle w:val="Heading2"/>
        <w:spacing w:after="80" w:before="240"/>
      </w:pPr>
      <w:r>
        <w:rPr>
          <w:rFonts w:ascii="Arial" w:cs="Arial" w:eastAsia="Arial" w:hAnsi="Arial"/>
          <w:b/>
          <w:bCs/>
          <w:color w:val="006D77"/>
          <w:sz w:val="26"/>
          <w:szCs w:val="26"/>
        </w:rPr>
        <w:t>4.3  Tier 3 — Decision Advisory</w:t>
      </w:r>
    </w:p>
    <w:p>
      <w:pPr>
        <w:spacing w:after="120" w:before="60"/>
      </w:pPr>
      <w:r>
        <w:rPr>
          <w:rFonts w:ascii="Arial" w:cs="Arial" w:eastAsia="Arial" w:hAnsi="Arial"/>
          <w:sz w:val="20"/>
          <w:szCs w:val="20"/>
        </w:rPr>
        <w:t>The third tier is the system’s most significant operational innovation. Even when DoM has issued a single official warning level, different sectors face different decision problems. The correct action for a hospital administrator is not the same as for a plantation manager, even at the identical ensemble probability of the identical heat event.</w:t>
      </w:r>
    </w:p>
    <w:p>
      <w:pPr>
        <w:spacing w:after="80" w:before="0"/>
      </w:pPr>
    </w:p>
    <w:p>
      <w:pPr>
        <w:pStyle w:val="Heading3"/>
        <w:spacing w:after="60" w:before="160"/>
      </w:pPr>
      <w:r>
        <w:rPr>
          <w:rFonts w:ascii="Arial" w:cs="Arial" w:eastAsia="Arial" w:hAnsi="Arial"/>
          <w:b/>
          <w:bCs/>
          <w:color w:val="424242"/>
          <w:sz w:val="22"/>
          <w:szCs w:val="22"/>
        </w:rPr>
        <w:t xml:space="preserve">Cost/Loss Analysis</w:t>
      </w:r>
    </w:p>
    <w:p>
      <w:pPr>
        <w:spacing w:after="120" w:before="60"/>
      </w:pPr>
      <w:r>
        <w:rPr>
          <w:rFonts w:ascii="Arial" w:cs="Arial" w:eastAsia="Arial" w:hAnsi="Arial"/>
          <w:sz w:val="20"/>
          <w:szCs w:val="20"/>
        </w:rPr>
        <w:t xml:space="preserve">For each sector, two parameters capture the economics and ethics of the warning decision: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c>
          <w:tcPr>
            <w:tcW w:type="dxa" w:w="26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Definition</w:t>
            </w:r>
          </w:p>
        </w:tc>
        <w:tc>
          <w:tcPr>
            <w:tcW w:type="dxa" w:w="55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Practical Example</w:t>
            </w:r>
          </w:p>
        </w:tc>
      </w:tr>
      <w:tr>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C</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Cost of protective action when no damaging event materialises (false alarm cost)</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Opening cooling centres, putting medical staff on standby, suspending outdoor work, adjusting irrigation — on a day that turns out to be manageable.</w:t>
            </w:r>
          </w:p>
        </w:tc>
      </w:tr>
      <w:tr>
        <w:tc>
          <w:tcPr>
            <w:tcW w:type="dxa" w:w="12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L</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Loss when no protective action is taken and a damaging event occurs (miss cost)</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Heat-stroke deaths, overwhelmed emergency departments, crop stress and yield loss, legal liability for worker heat illness, school child casualties.</w:t>
            </w:r>
          </w:p>
        </w:tc>
      </w:tr>
    </w:tbl>
    <w:p>
      <w:pPr>
        <w:spacing w:after="120" w:before="0"/>
      </w:pPr>
    </w:p>
    <w:p>
      <w:pPr>
        <w:spacing w:after="120" w:before="60"/>
      </w:pPr>
      <w:r>
        <w:rPr>
          <w:rFonts w:ascii="Arial" w:cs="Arial" w:eastAsia="Arial" w:hAnsi="Arial"/>
          <w:sz w:val="20"/>
          <w:szCs w:val="20"/>
        </w:rPr>
        <w:t xml:space="preserve">The ratio C/L is the decisive quantity. The mathematically proven optimal decision threshold is:</w:t>
      </w:r>
    </w:p>
    <w:p>
      <w:pPr>
        <w:spacing w:after="60" w:before="0"/>
      </w:pPr>
    </w:p>
    <w:tbl>
      <w:tblPr>
        <w:tblW w:type="dxa" w:w="9360"/>
        <w:tblBorders>
          <w:top w:val="single" w:color="FFFFFF" w:sz="0"/>
          <w:left w:val="single" w:color="FFFFFF" w:sz="0"/>
          <w:bottom w:val="single" w:color="FFFFFF" w:sz="0"/>
          <w:right w:val="single" w:color="FFFFFF" w:sz="0"/>
          <w:insideH w:val="single" w:color="auto" w:sz="4"/>
          <w:insideV w:val="single" w:color="auto" w:sz="4"/>
        </w:tblBorders>
      </w:tblPr>
      <w:tblGrid>
        <w:gridCol w:w="200"/>
        <w:gridCol w:w="9160"/>
      </w:tblGrid>
      <w:tr>
        <w:tc>
          <w:tcPr>
            <w:tcW w:type="dxa" w:w="200"/>
            <w:tcBorders>
              <w:top w:val="single" w:color="FFFFFF" w:sz="0"/>
              <w:left w:val="single" w:color="FFFFFF" w:sz="0"/>
              <w:bottom w:val="single" w:color="FFFFFF" w:sz="0"/>
              <w:right w:val="single" w:color="FFFFFF" w:sz="0"/>
            </w:tcBorders>
            <w:shd w:fill="006D77" w:val="clear"/>
          </w:tcPr>
          <w:p/>
        </w:tc>
        <w:tc>
          <w:tcPr>
            <w:tcW w:type="dxa" w:w="9160"/>
            <w:tcBorders>
              <w:top w:val="single" w:color="FFFFFF" w:sz="0"/>
              <w:left w:val="single" w:color="FFFFFF" w:sz="0"/>
              <w:bottom w:val="single" w:color="FFFFFF" w:sz="0"/>
              <w:right w:val="single" w:color="FFFFFF" w:sz="0"/>
            </w:tcBorders>
            <w:shd w:fill="E3F2FD" w:val="clear"/>
            <w:tcMar>
              <w:top w:type="dxa" w:w="120"/>
              <w:left w:type="dxa" w:w="200"/>
              <w:bottom w:type="dxa" w:w="120"/>
              <w:right w:type="dxa" w:w="120"/>
            </w:tcMar>
          </w:tcPr>
          <w:p>
            <w:pPr>
              <w:spacing w:after="60" w:before="0"/>
            </w:pPr>
            <w:r>
              <w:rPr>
                <w:rFonts w:ascii="Arial" w:cs="Arial" w:eastAsia="Arial" w:hAnsi="Arial"/>
                <w:i/>
                <w:iCs/>
                <w:sz w:val="20"/>
                <w:szCs w:val="20"/>
              </w:rPr>
              <w:t xml:space="preserve">p* = C / L</w:t>
            </w:r>
          </w:p>
          <w:p>
            <w:pPr>
              <w:spacing w:after="60" w:before="0"/>
            </w:pPr>
            <w:r>
              <w:rPr>
                <w:rFonts w:ascii="Arial" w:cs="Arial" w:eastAsia="Arial" w:hAnsi="Arial"/>
                <w:i/>
                <w:iCs/>
                <w:sz w:val="20"/>
                <w:szCs w:val="20"/>
              </w:rPr>
              <w:t xml:space="preserve">A sector should take protective action whenever the ensemble probability of damaging heat exceeds p*. This is not a heuristic — it is the threshold that minimises expected cost over many warning cycles under the Bayes decision rule.</w:t>
            </w:r>
          </w:p>
        </w:tc>
      </w:tr>
    </w:tbl>
    <w:p>
      <w:pPr>
        <w:spacing w:after="120" w:before="0"/>
      </w:pPr>
    </w:p>
    <w:p>
      <w:pPr>
        <w:pStyle w:val="Heading3"/>
        <w:spacing w:after="60" w:before="160"/>
      </w:pPr>
      <w:r>
        <w:rPr>
          <w:rFonts w:ascii="Arial" w:cs="Arial" w:eastAsia="Arial" w:hAnsi="Arial"/>
          <w:b/>
          <w:bCs/>
          <w:color w:val="424242"/>
          <w:sz w:val="22"/>
          <w:szCs w:val="22"/>
        </w:rPr>
        <w:t xml:space="preserve">Sector Thresholds and Their Derivation</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200"/>
        <w:gridCol w:w="1300"/>
        <w:gridCol w:w="1820"/>
        <w:gridCol w:w="1800"/>
        <w:gridCol w:w="1800"/>
      </w:tblGrid>
      <w:tr>
        <w:tc>
          <w:tcPr>
            <w:tcW w:type="dxa" w:w="144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Sector</w:t>
            </w:r>
          </w:p>
        </w:tc>
        <w:tc>
          <w:tcPr>
            <w:tcW w:type="dxa" w:w="1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 Ratio</w:t>
            </w:r>
          </w:p>
        </w:tc>
        <w:tc>
          <w:tcPr>
            <w:tcW w:type="dxa" w:w="13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 at
ENS p ≥</w:t>
            </w:r>
          </w:p>
        </w:tc>
        <w:tc>
          <w:tcPr>
            <w:tcW w:type="dxa" w:w="182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Rationale</w:t>
            </w:r>
          </w:p>
        </w:tc>
        <w:tc>
          <w:tcPr>
            <w:tcW w:type="dxa" w:w="1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Protective Action</w:t>
            </w:r>
          </w:p>
        </w:tc>
        <w:tc>
          <w:tcPr>
            <w:tcW w:type="dxa" w:w="1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Primary Miss Cost</w:t>
            </w:r>
          </w:p>
        </w:tc>
      </w:tr>
      <w:tr>
        <w:tc>
          <w:tcPr>
            <w:tcW w:type="dxa" w:w="144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Health</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0.13</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13%</w:t>
            </w:r>
          </w:p>
        </w:tc>
        <w:tc>
          <w:tcPr>
            <w:tcW w:type="dxa" w:w="18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Standby costs are small; mortality and ER overwhelm are catastrophic</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Hospital surge readiness, heat-stroke protocols, outreach to elderly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Deaths, morbidity, overwhelmed emergency departments</w:t>
            </w:r>
          </w:p>
        </w:tc>
      </w:tr>
      <w:tr>
        <w:tc>
          <w:tcPr>
            <w:tcW w:type="dxa" w:w="1440"/>
            <w:tcBorders>
              <w:top w:val="single" w:color="CCCCCC" w:sz="4"/>
              <w:left w:val="single" w:color="CCCCCC" w:sz="4"/>
              <w:bottom w:val="single" w:color="CCCCCC" w:sz="4"/>
              <w:right w:val="single" w:color="CCCCCC" w:sz="4"/>
            </w:tcBorders>
            <w:shd w:fill="FBE9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Labour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0.18</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18%</w:t>
            </w:r>
          </w:p>
        </w:tc>
        <w:tc>
          <w:tcPr>
            <w:tcW w:type="dxa" w:w="18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Legal, human, and productivity consequences are high; rescheduling has real cost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Suspend or reschedule outdoor work; mandatory rest and hydration breaks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Worker heat illness, legal liability, lost productivity</w:t>
            </w:r>
          </w:p>
        </w:tc>
      </w:tr>
      <w:tr>
        <w:tc>
          <w:tcPr>
            <w:tcW w:type="dxa" w:w="144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Education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0.25</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25%</w:t>
            </w:r>
          </w:p>
        </w:tc>
        <w:tc>
          <w:tcPr>
            <w:tcW w:type="dxa" w:w="18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School closure is disruptive; heat injury to children is unacceptable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Modified timetable, closure of unventilated schools, cancel outdoor activities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Child heat illness, reputational harm</w:t>
            </w:r>
          </w:p>
        </w:tc>
      </w:tr>
      <w:tr>
        <w:tc>
          <w:tcPr>
            <w:tcW w:type="dxa" w:w="144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Agriculture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0.33</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33%</w:t>
            </w:r>
          </w:p>
        </w:tc>
        <w:tc>
          <w:tcPr>
            <w:tcW w:type="dxa" w:w="18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Irrigation and harvest scheduling have upfront cost; crop loss is also high but more gradual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Pre-emptive irrigation, adjust harvest timing, livestock shade and water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Crop stress, yield reduction, livestock losses</w:t>
            </w:r>
          </w:p>
        </w:tc>
      </w:tr>
      <w:tr>
        <w:tc>
          <w:tcPr>
            <w:tcW w:type="dxa" w:w="144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Tourism</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0.22</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22%</w:t>
            </w:r>
          </w:p>
        </w:tc>
        <w:tc>
          <w:tcPr>
            <w:tcW w:type="dxa" w:w="18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Visitor cancellations and reputation damage accumulate quickly; activation costs (advisories, adjustments) are modest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Issue heat safety advisories, adjust outdoor activities, increase cooling in facilities, alert tour operators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Tourist cancellations, reputational harm, heat illness liability, revenue loss</w:t>
            </w:r>
          </w:p>
        </w:tc>
      </w:tr>
      <w:tr>
        <w:tc>
          <w:tcPr>
            <w:tcW w:type="dxa" w:w="144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Energy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0.39</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39%</w:t>
            </w:r>
          </w:p>
        </w:tc>
        <w:tc>
          <w:tcPr>
            <w:tcW w:type="dxa" w:w="18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Peak demand management has lead-time requirements; grid stability costs of under-preparation are high</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Pre-position demand-response measures, check cooling systems for critical infrastructure, alert grid operators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Grid instability, transformer failures, blackouts during peak demand, cascading infrastructure impacts</w:t>
            </w:r>
          </w:p>
        </w:tc>
      </w:tr>
    </w:tbl>
    <w:p>
      <w:pPr>
        <w:spacing w:after="120" w:before="0"/>
      </w:pPr>
    </w:p>
    <w:p>
      <w:pPr>
        <w:pStyle w:val="Heading3"/>
        <w:spacing w:after="60" w:before="160"/>
      </w:pPr>
      <w:r>
        <w:rPr>
          <w:rFonts w:ascii="Arial" w:cs="Arial" w:eastAsia="Arial" w:hAnsi="Arial"/>
          <w:b/>
          <w:bCs/>
          <w:color w:val="424242"/>
          <w:sz w:val="22"/>
          <w:szCs w:val="22"/>
        </w:rPr>
        <w:t xml:space="preserve">The Relationship Between the Three Tiers</w:t>
      </w:r>
    </w:p>
    <w:p>
      <w:pPr>
        <w:spacing w:after="120" w:before="60"/>
      </w:pPr>
      <w:r>
        <w:rPr>
          <w:rFonts w:ascii="Arial" w:cs="Arial" w:eastAsia="Arial" w:hAnsi="Arial"/>
          <w:sz w:val="20"/>
          <w:szCs w:val="20"/>
        </w:rPr>
        <w:t xml:space="preserve">The three tiers are related but operationally independent. The following scenarios illustrate how ensemble probabilities flow through both simultaneously: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500"/>
        <w:gridCol w:w="1400"/>
        <w:gridCol w:w="1460"/>
        <w:gridCol w:w="2200"/>
      </w:tblGrid>
      <w:tr>
        <w:tc>
          <w:tcPr>
            <w:tcW w:type="dxa" w:w="2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ENS Signal</w:t>
            </w:r>
          </w:p>
        </w:tc>
        <w:tc>
          <w:tcPr>
            <w:tcW w:type="dxa" w:w="14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P(cat≥2)</w:t>
            </w:r>
          </w:p>
        </w:tc>
        <w:tc>
          <w:tcPr>
            <w:tcW w:type="dxa" w:w="15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Official
Warning</w:t>
            </w:r>
          </w:p>
        </w:tc>
        <w:tc>
          <w:tcPr>
            <w:tcW w:type="dxa" w:w="14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Health
Acts?</w:t>
            </w:r>
          </w:p>
        </w:tc>
        <w:tc>
          <w:tcPr>
            <w:tcW w:type="dxa" w:w="14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Agriculture
Acts?</w:t>
            </w:r>
          </w:p>
        </w:tc>
        <w:tc>
          <w:tcPr>
            <w:tcW w:type="dxa" w:w="2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Implication</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Early season: high uncertainty, moderate signal</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w:t>
            </w:r>
          </w:p>
        </w:tc>
        <w:tc>
          <w:tcPr>
            <w:tcW w:type="dxa" w:w="15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GREEN</w:t>
            </w:r>
          </w:p>
        </w:tc>
        <w:tc>
          <w:tcPr>
            <w:tcW w:type="dxa" w:w="14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YES (p&gt;13%)</w:t>
            </w:r>
          </w:p>
        </w:tc>
        <w:tc>
          <w:tcPr>
            <w:tcW w:type="dxa" w:w="14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 (p&lt;33%)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Health activates internally; no public warning issued</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Moderate heat forecast: most members agree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45%</w:t>
            </w:r>
          </w:p>
        </w:tc>
        <w:tc>
          <w:tcPr>
            <w:tcW w:type="dxa" w:w="1500"/>
            <w:tcBorders>
              <w:top w:val="single" w:color="CCCCCC" w:sz="4"/>
              <w:left w:val="single" w:color="CCCCCC" w:sz="4"/>
              <w:bottom w:val="single" w:color="CCCCCC" w:sz="4"/>
              <w:right w:val="single" w:color="CCCCCC" w:sz="4"/>
            </w:tcBorders>
            <w:shd w:fill="FFFDE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YELLOW</w:t>
            </w:r>
          </w:p>
        </w:tc>
        <w:tc>
          <w:tcPr>
            <w:tcW w:type="dxa" w:w="14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YES</w:t>
            </w:r>
          </w:p>
        </w:tc>
        <w:tc>
          <w:tcPr>
            <w:tcW w:type="dxa" w:w="1460"/>
            <w:tcBorders>
              <w:top w:val="single" w:color="CCCCCC" w:sz="4"/>
              <w:left w:val="single" w:color="CCCCCC" w:sz="4"/>
              <w:bottom w:val="single" w:color="CCCCCC" w:sz="4"/>
              <w:right w:val="single" w:color="CCCCCC" w:sz="4"/>
            </w:tcBorders>
            <w:shd w:fill="FFFDE7"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YES (p&gt;33%)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sectors act; only a Watch (not Alert) publicly issued</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High-confidence Danger event: 30+ members in cat 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78%</w:t>
            </w:r>
          </w:p>
        </w:tc>
        <w:tc>
          <w:tcPr>
            <w:tcW w:type="dxa" w:w="15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RED</w:t>
            </w:r>
          </w:p>
        </w:tc>
        <w:tc>
          <w:tcPr>
            <w:tcW w:type="dxa" w:w="14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YES</w:t>
            </w:r>
          </w:p>
        </w:tc>
        <w:tc>
          <w:tcPr>
            <w:tcW w:type="dxa" w:w="146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alignment: official Warning and all sector activations triggered</w:t>
            </w:r>
          </w:p>
        </w:tc>
      </w:tr>
    </w:tbl>
    <w:p>
      <w:pPr>
        <w:spacing w:after="120" w:before="0"/>
      </w:pPr>
    </w:p>
    <w:p>
      <w:pPr>
        <w:spacing w:after="120" w:before="60"/>
      </w:pPr>
      <w:r>
        <w:rPr>
          <w:rFonts w:ascii="Arial" w:cs="Arial" w:eastAsia="Arial" w:hAnsi="Arial"/>
          <w:sz w:val="20"/>
          <w:szCs w:val="20"/>
        </w:rPr>
        <w:t xml:space="preserve">This architecture resolves the central tension in warning systems: the pressure to warn the most sensitive sectors (Health) early, without triggering a public emergency announcement every time ensemble uncertainty is moderate. Sector thresholds let each sector activate at the probability that is optimal for its own cost structure, without requiring escalation of the official warning level to justify each action.</w:t>
      </w:r>
    </w:p>
    <w:p>
      <w:pPr>
        <w:spacing w:after="80" w:before="0"/>
      </w:pPr>
    </w:p>
    <w:p>
      <w:pPr>
        <w:pStyle w:val="Heading3"/>
        <w:spacing w:after="60" w:before="160"/>
      </w:pPr>
      <w:r>
        <w:rPr>
          <w:rFonts w:ascii="Arial" w:cs="Arial" w:eastAsia="Arial" w:hAnsi="Arial"/>
          <w:b/>
          <w:bCs/>
          <w:color w:val="424242"/>
          <w:sz w:val="22"/>
          <w:szCs w:val="22"/>
        </w:rPr>
        <w:t xml:space="preserve">Transparency and Accountability</w:t>
      </w:r>
    </w:p>
    <w:p>
      <w:pPr>
        <w:spacing w:after="120" w:before="60"/>
      </w:pPr>
      <w:r>
        <w:rPr>
          <w:rFonts w:ascii="Arial" w:cs="Arial" w:eastAsia="Arial" w:hAnsi="Arial"/>
          <w:sz w:val="20"/>
          <w:szCs w:val="20"/>
        </w:rPr>
        <w:t xml:space="preserve">Every sector activation is traceable to a number: the ensemble probability, the C/L ratio, and the decision threshold. This is a governance improvement over current practice, where warning decisions are largely implicit. The interactive dashboard makes all parameters visible and adjustable by sector representatives, ensuring that threshold calibration reflects operational reality rather than imposed defaults.</w:t>
      </w:r>
    </w:p>
    <w:p>
      <w:pPr>
        <w:spacing w:after="120" w:before="0"/>
      </w:pPr>
    </w:p>
    <w:p>
      <w:pPr>
        <w:pStyle w:val="Heading1"/>
        <w:spacing w:after="120" w:before="360"/>
      </w:pPr>
      <w:r>
        <w:rPr>
          <w:rFonts w:ascii="Arial" w:cs="Arial" w:eastAsia="Arial" w:hAnsi="Arial"/>
          <w:b/>
          <w:bCs/>
          <w:color w:val="1B3A6B"/>
          <w:sz w:val="32"/>
          <w:szCs w:val="32"/>
        </w:rPr>
        <w:t xml:space="preserve">5.  Tools Developed</w:t>
      </w:r>
    </w:p>
    <w:p>
      <w:pPr>
        <w:pBdr>
          <w:bottom w:val="single" w:color="1B3A6B" w:sz="6" w:space="1"/>
        </w:pBdr>
        <w:spacing w:after="0" w:before="0"/>
      </w:pPr>
    </w:p>
    <w:p>
      <w:pPr>
        <w:spacing w:after="80" w:before="0"/>
      </w:pPr>
    </w:p>
    <w:p>
      <w:pPr>
        <w:spacing w:after="120" w:before="60"/>
      </w:pPr>
      <w:r>
        <w:rPr>
          <w:rFonts w:ascii="Arial" w:cs="Arial" w:eastAsia="Arial" w:hAnsi="Arial"/>
          <w:sz w:val="20"/>
          <w:szCs w:val="20"/>
        </w:rPr>
        <w:t xml:space="preserve">Seven integrated tools have been built and validated. All operate on ECMWF ENS-derived probability vectors. The Python library is the computational core; the browser dashboard (five tabs) delivers the three-tier advisory without requiring Python; the Jupyter notebook is a five-part interactive training workbook for forecasters and sector users; the demo script generates workshop visualisations; the results reference document presents all key findings with figures for non-technical stakeholders; the SOP translates outputs into institutional language; the Sector Heat Loss Estimator quantifies economic exposure; and the Personal Heat Risk Profiler extends Bayesian decision theory to the individual level.</w:t>
      </w:r>
    </w:p>
    <w:p>
      <w:pPr>
        <w:spacing w:after="120" w:before="0"/>
      </w:pPr>
    </w:p>
    <w:p>
      <w:pPr>
        <w:pStyle w:val="Heading2"/>
        <w:spacing w:after="80" w:before="240"/>
      </w:pPr>
      <w:r>
        <w:rPr>
          <w:rFonts w:ascii="Arial" w:cs="Arial" w:eastAsia="Arial" w:hAnsi="Arial"/>
          <w:b/>
          <w:bCs/>
          <w:color w:val="006D77"/>
          <w:sz w:val="26"/>
          <w:szCs w:val="26"/>
        </w:rPr>
        <w:t xml:space="preserve">5.1  Interactive HTML Decision Support Dashboard</w:t>
      </w:r>
    </w:p>
    <w:p>
      <w:pPr>
        <w:spacing w:after="120" w:before="60"/>
      </w:pPr>
      <w:r>
        <w:rPr>
          <w:rFonts w:ascii="Arial" w:cs="Arial" w:eastAsia="Arial" w:hAnsi="Arial"/>
          <w:sz w:val="20"/>
          <w:szCs w:val="20"/>
        </w:rPr>
        <w:t xml:space="preserve">File: </w:t>
      </w:r>
      <w:r>
        <w:rPr>
          <w:rFonts w:ascii="Arial" w:cs="Arial" w:eastAsia="Arial" w:hAnsi="Arial"/>
          <w:b/>
          <w:bCs/>
          <w:sz w:val="20"/>
          <w:szCs w:val="20"/>
        </w:rPr>
        <w:t xml:space="preserve">sri_lanka_heat_tool_v3.html</w:t>
      </w:r>
      <w:r>
        <w:rPr>
          <w:rFonts w:ascii="Arial" w:cs="Arial" w:eastAsia="Arial" w:hAnsi="Arial"/>
          <w:sz w:val="20"/>
          <w:szCs w:val="20"/>
        </w:rPr>
        <w:t xml:space="preserve"> — open in any web browser, no installation required.</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6D77" w:sz="4"/>
              <w:left w:val="single" w:color="006D77" w:sz="4"/>
              <w:bottom w:val="single" w:color="006D77" w:sz="4"/>
              <w:right w:val="single" w:color="006D77" w:sz="4"/>
            </w:tcBorders>
            <w:shd w:fill="006D7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Tab</w:t>
            </w:r>
          </w:p>
        </w:tc>
        <w:tc>
          <w:tcPr>
            <w:tcW w:type="dxa" w:w="6960"/>
            <w:tcBorders>
              <w:top w:val="single" w:color="006D77" w:sz="4"/>
              <w:left w:val="single" w:color="006D77" w:sz="4"/>
              <w:bottom w:val="single" w:color="006D77" w:sz="4"/>
              <w:right w:val="single" w:color="006D77" w:sz="4"/>
            </w:tcBorders>
            <w:shd w:fill="006D7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Function</w:t>
            </w:r>
          </w:p>
        </w:tc>
      </w:tr>
      <w:tr>
        <w:tc>
          <w:tcPr>
            <w:tcW w:type="dxa" w:w="2400"/>
            <w:tcBorders>
              <w:top w:val="single" w:color="CCCCCC" w:sz="4"/>
              <w:left w:val="single" w:color="CCCCCC" w:sz="4"/>
              <w:bottom w:val="single" w:color="CCCCCC" w:sz="4"/>
              <w:right w:val="single" w:color="CCCCCC" w:sz="4"/>
            </w:tcBorders>
            <w:shd w:fill="E0F7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Threshold Calculator</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Real-time sliders for the four ECMWF ENS category probabilities (p₁–p₄). The Bayesian loss matrix is computed instantly in the browser and the optimal warning level for the selected sector/loss profile is derived (feeding Advisory Generator as Tier 3). The Generic Forecaster comparison panel classifies the selected sector using four categories: GF sufficient, Balanced sufficient, Sector protocol needed, or Sector can reduce — referencing both the Tier 1 (GF) and Tier 2 (Balanced) thresholds simultaneously.</w:t>
            </w:r>
          </w:p>
        </w:tc>
      </w:tr>
      <w:tr>
        <w:tc>
          <w:tcPr>
            <w:tcW w:type="dxa" w:w="2400"/>
            <w:tcBorders>
              <w:top w:val="single" w:color="CCCCCC" w:sz="4"/>
              <w:left w:val="single" w:color="CCCCCC" w:sz="4"/>
              <w:bottom w:val="single" w:color="CCCCCC" w:sz="4"/>
              <w:right w:val="single" w:color="CCCCCC" w:sz="4"/>
            </w:tcBorders>
            <w:shd w:fill="E0F7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Advisory Generator</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Displays three integrated warning tiers from the probability distribution set in Tab 1: Tier 1 (official DoM broadcast), Tier 2 (Balanced sectoral, fixed calibration), and Tier 3 (sector or personal optimal, defaulting to Balanced if no profile is loaded). A gap indicator between Tier 2 and Tier 3 shows the operational significance of any divergence. Sector action cards are generated for all seven sectors. Advisory text is exportable as plain text.</w:t>
            </w:r>
          </w:p>
        </w:tc>
      </w:tr>
      <w:tr>
        <w:tc>
          <w:tcPr>
            <w:tcW w:type="dxa" w:w="2400"/>
            <w:tcBorders>
              <w:top w:val="single" w:color="CCCCCC" w:sz="4"/>
              <w:left w:val="single" w:color="CCCCCC" w:sz="4"/>
              <w:bottom w:val="single" w:color="CCCCCC" w:sz="4"/>
              <w:right w:val="single" w:color="CCCCCC" w:sz="4"/>
            </w:tcBorders>
            <w:shd w:fill="E0F7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Post-Event Review</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FORIN forensic matrix (four EW4All pillars × four analytical lenses) for capturing lessons after a heat event. Prefilled with TC Ditwah-derived prompts. Exports a plain-text institutional record.</w:t>
            </w:r>
          </w:p>
        </w:tc>
      </w:tr>
      <w:tr>
        <w:tc>
          <w:tcPr>
            <w:tcW w:type="dxa" w:w="2400"/>
            <w:tcBorders>
              <w:top w:val="single" w:color="CCCCCC" w:sz="4"/>
              <w:left w:val="single" w:color="CCCCCC" w:sz="4"/>
              <w:bottom w:val="single" w:color="CCCCCC" w:sz="4"/>
              <w:right w:val="single" w:color="CCCCCC" w:sz="4"/>
            </w:tcBorders>
            <w:shd w:fill="E0F7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Sector Loss Estimator</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Interactive semicircular gauge displaying expected loss for the current probability scenario across seven sectors (health, agriculture, outdoor labour, tourism, energy, transport, and education). Loss is expressed as a percentage of the sector’s baseline economic exposure, computed from the Bayesian loss matrix in real time. Also available as a standalone tool (heat_loss_estimator.html).</w:t>
            </w:r>
          </w:p>
        </w:tc>
      </w:tr>
      <w:tr>
        <w:tc>
          <w:tcPr>
            <w:tcW w:type="dxa" w:w="2400"/>
            <w:tcBorders>
              <w:top w:val="single" w:color="CCCCCC" w:sz="4"/>
              <w:left w:val="single" w:color="CCCCCC" w:sz="4"/>
              <w:bottom w:val="single" w:color="CCCCCC" w:sz="4"/>
              <w:right w:val="single" w:color="CCCCCC" w:sz="4"/>
            </w:tcBorders>
            <w:shd w:fill="E0F7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Personal Risk Profiler</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Five-screen guided wizard applying Bayesian decision theory at the individual level. The user’s vulnerability index (age, health conditions, medications, outdoor exposure, cooling access) and cost-of-action score yield a personal optimal threshold p*, mapping to a personalised trigger colour (GREEN/YELLOW/AMBER/RED). Includes risk factor summary and targeted protective-action tips. Also available as a standalone mobile-friendly tool (personal_heat_risk.html).</w:t>
            </w:r>
          </w:p>
        </w:tc>
      </w:tr>
    </w:tbl>
    <w:p>
      <w:pPr>
        <w:spacing w:after="120" w:before="0"/>
      </w:pPr>
    </w:p>
    <w:p>
      <w:pPr>
        <w:pStyle w:val="Heading2"/>
        <w:spacing w:after="80" w:before="240"/>
      </w:pPr>
      <w:r>
        <w:rPr>
          <w:rFonts w:ascii="Arial" w:cs="Arial" w:eastAsia="Arial" w:hAnsi="Arial"/>
          <w:b/>
          <w:bCs/>
          <w:color w:val="006D77"/>
          <w:sz w:val="26"/>
          <w:szCs w:val="26"/>
        </w:rPr>
        <w:t xml:space="preserve">5.2  Python Forecasting Library</w:t>
      </w:r>
    </w:p>
    <w:p>
      <w:pPr>
        <w:spacing w:after="120" w:before="60"/>
      </w:pPr>
      <w:r>
        <w:rPr>
          <w:rFonts w:ascii="Arial" w:cs="Arial" w:eastAsia="Arial" w:hAnsi="Arial"/>
          <w:sz w:val="20"/>
          <w:szCs w:val="20"/>
        </w:rPr>
        <w:t xml:space="preserve">File: </w:t>
      </w:r>
      <w:r>
        <w:rPr>
          <w:rFonts w:ascii="Arial" w:cs="Arial" w:eastAsia="Arial" w:hAnsi="Arial"/>
          <w:b/>
          <w:bCs/>
          <w:sz w:val="20"/>
          <w:szCs w:val="20"/>
        </w:rPr>
        <w:t xml:space="preserve">heat_ews_srilanka.py</w:t>
      </w:r>
      <w:r>
        <w:rPr>
          <w:rFonts w:ascii="Arial" w:cs="Arial" w:eastAsia="Arial" w:hAnsi="Arial"/>
          <w:sz w:val="20"/>
          <w:szCs w:val="20"/>
        </w:rPr>
        <w:t xml:space="preserve"> — requires Python 3.8+, NumPy, SciPy.</w:t>
      </w:r>
    </w:p>
    <w:p>
      <w:pPr>
        <w:spacing w:after="120" w:before="60"/>
      </w:pPr>
      <w:r>
        <w:rPr>
          <w:rFonts w:ascii="Arial" w:cs="Arial" w:eastAsia="Arial" w:hAnsi="Arial"/>
          <w:sz w:val="20"/>
          <w:szCs w:val="20"/>
        </w:rPr>
        <w:t xml:space="preserve">The core computational engine implementing the full Bayesian framework on ECMWF ENS-derived probability vectors.</w:t>
      </w:r>
    </w:p>
    <w:p>
      <w:pPr>
        <w:spacing w:after="60" w:before="0"/>
      </w:pPr>
    </w:p>
    <w:p>
      <w:pPr>
        <w:pStyle w:val="ListParagraph"/>
        <w:numPr>
          <w:ilvl w:val="0"/>
          <w:numId w:val="2"/>
        </w:numPr>
        <w:spacing w:after="40" w:before="40"/>
      </w:pPr>
      <w:r>
        <w:rPr>
          <w:rFonts w:ascii="Arial" w:cs="Arial" w:eastAsia="Arial" w:hAnsi="Arial"/>
          <w:sz w:val="20"/>
          <w:szCs w:val="20"/>
        </w:rPr>
        <w:t xml:space="preserve">Accepts ENS probability vectors p = (p₁, p₂, p₃, p₄) computed from member exceedance counts against the DoM 2018 Heat Index thresholds</w:t>
      </w:r>
    </w:p>
    <w:p>
      <w:pPr>
        <w:pStyle w:val="ListParagraph"/>
        <w:numPr>
          <w:ilvl w:val="0"/>
          <w:numId w:val="2"/>
        </w:numPr>
        <w:spacing w:after="40" w:before="40"/>
      </w:pPr>
      <w:r>
        <w:rPr>
          <w:rFonts w:ascii="Arial" w:cs="Arial" w:eastAsia="Arial" w:hAnsi="Arial"/>
          <w:sz w:val="20"/>
          <w:szCs w:val="20"/>
        </w:rPr>
        <w:t xml:space="preserve">Three model classes: ClimatologicalModel, CalibratedModel (primary operational), EnsembleModel (benchmark)</w:t>
      </w:r>
    </w:p>
    <w:p>
      <w:pPr>
        <w:pStyle w:val="ListParagraph"/>
        <w:numPr>
          <w:ilvl w:val="0"/>
          <w:numId w:val="2"/>
        </w:numPr>
        <w:spacing w:after="40" w:before="40"/>
      </w:pPr>
      <w:r>
        <w:rPr>
          <w:rFonts w:ascii="Arial" w:cs="Arial" w:eastAsia="Arial" w:hAnsi="Arial"/>
          <w:sz w:val="20"/>
          <w:szCs w:val="20"/>
        </w:rPr>
        <w:t xml:space="preserve">HeatWarningSystem class per sector: computes optimal warning action and expected losses for any input probability vector</w:t>
      </w:r>
    </w:p>
    <w:p>
      <w:pPr>
        <w:pStyle w:val="ListParagraph"/>
        <w:numPr>
          <w:ilvl w:val="0"/>
          <w:numId w:val="2"/>
        </w:numPr>
        <w:spacing w:after="40" w:before="40"/>
      </w:pPr>
      <w:r>
        <w:rPr>
          <w:rFonts w:ascii="Arial" w:cs="Arial" w:eastAsia="Arial" w:hAnsi="Arial"/>
          <w:sz w:val="20"/>
          <w:szCs w:val="20"/>
        </w:rPr>
        <w:t xml:space="preserve">Automated seasonal verification: Brier score, POD, FAR, CSI computed against observed records</w:t>
      </w:r>
    </w:p>
    <w:p>
      <w:pPr>
        <w:pStyle w:val="ListParagraph"/>
        <w:numPr>
          <w:ilvl w:val="0"/>
          <w:numId w:val="2"/>
        </w:numPr>
        <w:spacing w:after="40" w:before="40"/>
      </w:pPr>
      <w:r>
        <w:rPr>
          <w:rFonts w:ascii="Arial" w:cs="Arial" w:eastAsia="Arial" w:hAnsi="Arial"/>
          <w:sz w:val="20"/>
          <w:szCs w:val="20"/>
        </w:rPr>
        <w:t xml:space="preserve">Loss matrix printer: makes the complete cost/loss table transparent for each sector</w:t>
      </w:r>
    </w:p>
    <w:p>
      <w:pPr>
        <w:pStyle w:val="ListParagraph"/>
        <w:numPr>
          <w:ilvl w:val="0"/>
          <w:numId w:val="2"/>
        </w:numPr>
        <w:spacing w:after="40" w:before="40"/>
      </w:pPr>
      <w:r>
        <w:rPr>
          <w:rFonts w:ascii="Arial" w:cs="Arial" w:eastAsia="Arial" w:hAnsi="Arial"/>
          <w:sz w:val="20"/>
          <w:szCs w:val="20"/>
        </w:rPr>
        <w:t xml:space="preserve">SECTOR_ACTIONS dictionary: maps each warning level to concrete actions per sector</w:t>
      </w:r>
    </w:p>
    <w:p>
      <w:pPr>
        <w:spacing w:after="120" w:before="0"/>
      </w:pPr>
    </w:p>
    <w:p>
      <w:pPr>
        <w:pStyle w:val="Heading2"/>
        <w:spacing w:after="80" w:before="240"/>
      </w:pPr>
      <w:r>
        <w:rPr>
          <w:rFonts w:ascii="Arial" w:cs="Arial" w:eastAsia="Arial" w:hAnsi="Arial"/>
          <w:b/>
          <w:bCs/>
          <w:color w:val="006D77"/>
          <w:sz w:val="26"/>
          <w:szCs w:val="26"/>
        </w:rPr>
        <w:t xml:space="preserve">5.3  Standard Operating Procedure Document</w:t>
      </w:r>
    </w:p>
    <w:p>
      <w:pPr>
        <w:spacing w:after="120" w:before="60"/>
      </w:pPr>
      <w:r>
        <w:rPr>
          <w:rFonts w:ascii="Arial" w:cs="Arial" w:eastAsia="Arial" w:hAnsi="Arial"/>
          <w:sz w:val="20"/>
          <w:szCs w:val="20"/>
        </w:rPr>
        <w:t xml:space="preserve">File: </w:t>
      </w:r>
      <w:r>
        <w:rPr>
          <w:rFonts w:ascii="Arial" w:cs="Arial" w:eastAsia="Arial" w:hAnsi="Arial"/>
          <w:b/>
          <w:bCs/>
          <w:sz w:val="20"/>
          <w:szCs w:val="20"/>
        </w:rPr>
        <w:t xml:space="preserve">sri_lanka_heat_sop_v3.docx</w:t>
      </w:r>
      <w:r>
        <w:rPr>
          <w:rFonts w:ascii="Arial" w:cs="Arial" w:eastAsia="Arial" w:hAnsi="Arial"/>
          <w:sz w:val="20"/>
          <w:szCs w:val="20"/>
        </w:rPr>
        <w:t xml:space="preserve"> — print-ready Word document for institutional adoption.</w:t>
      </w:r>
    </w:p>
    <w:p>
      <w:pPr>
        <w:spacing w:after="60" w:before="0"/>
      </w:pPr>
    </w:p>
    <w:p>
      <w:pPr>
        <w:pStyle w:val="ListParagraph"/>
        <w:numPr>
          <w:ilvl w:val="0"/>
          <w:numId w:val="2"/>
        </w:numPr>
        <w:spacing w:after="40" w:before="40"/>
      </w:pPr>
      <w:r>
        <w:rPr>
          <w:rFonts w:ascii="Arial" w:cs="Arial" w:eastAsia="Arial" w:hAnsi="Arial"/>
          <w:sz w:val="20"/>
          <w:szCs w:val="20"/>
        </w:rPr>
        <w:t xml:space="preserve">Warning level definitions with ECMWF ENS probability triggers and colour-coded thresholds</w:t>
      </w:r>
    </w:p>
    <w:p>
      <w:pPr>
        <w:pStyle w:val="ListParagraph"/>
        <w:numPr>
          <w:ilvl w:val="0"/>
          <w:numId w:val="2"/>
        </w:numPr>
        <w:spacing w:after="40" w:before="40"/>
      </w:pPr>
      <w:r>
        <w:rPr>
          <w:rFonts w:ascii="Arial" w:cs="Arial" w:eastAsia="Arial" w:hAnsi="Arial"/>
          <w:sz w:val="20"/>
          <w:szCs w:val="20"/>
        </w:rPr>
        <w:t xml:space="preserve">Dissemination chain and timeline: DoM → DMC → Sector Focal Points → District/GN → Communities, T+48h to T+0</w:t>
      </w:r>
    </w:p>
    <w:p>
      <w:pPr>
        <w:pStyle w:val="ListParagraph"/>
        <w:numPr>
          <w:ilvl w:val="0"/>
          <w:numId w:val="2"/>
        </w:numPr>
        <w:spacing w:after="40" w:before="40"/>
      </w:pPr>
      <w:r>
        <w:rPr>
          <w:rFonts w:ascii="Arial" w:cs="Arial" w:eastAsia="Arial" w:hAnsi="Arial"/>
          <w:sz w:val="20"/>
          <w:szCs w:val="20"/>
        </w:rPr>
        <w:t xml:space="preserve">Sector action cards for Health, Agriculture, Education, Labour, and Garment &amp; Apparel at each warning level</w:t>
      </w:r>
    </w:p>
    <w:p>
      <w:pPr>
        <w:pStyle w:val="ListParagraph"/>
        <w:numPr>
          <w:ilvl w:val="0"/>
          <w:numId w:val="2"/>
        </w:numPr>
        <w:spacing w:after="40" w:before="40"/>
      </w:pPr>
      <w:r>
        <w:rPr>
          <w:rFonts w:ascii="Arial" w:cs="Arial" w:eastAsia="Arial" w:hAnsi="Arial"/>
          <w:sz w:val="20"/>
          <w:szCs w:val="20"/>
        </w:rPr>
        <w:t xml:space="preserve">Post-event forensic review form (FORIN matrix)</w:t>
      </w:r>
    </w:p>
    <w:p>
      <w:pPr>
        <w:pStyle w:val="ListParagraph"/>
        <w:numPr>
          <w:ilvl w:val="0"/>
          <w:numId w:val="2"/>
        </w:numPr>
        <w:spacing w:after="40" w:before="40"/>
      </w:pPr>
      <w:r>
        <w:rPr>
          <w:rFonts w:ascii="Arial" w:cs="Arial" w:eastAsia="Arial" w:hAnsi="Arial"/>
          <w:sz w:val="20"/>
          <w:szCs w:val="20"/>
        </w:rPr>
        <w:t xml:space="preserve">Future climate filter: guidance on threshold review as baseline temperatures rise</w:t>
      </w:r>
    </w:p>
    <w:p>
      <w:pPr>
        <w:spacing w:after="120" w:before="0"/>
      </w:pPr>
    </w:p>
    <w:p>
      <w:pPr>
        <w:pStyle w:val="Heading2"/>
        <w:spacing w:after="80" w:before="240"/>
      </w:pPr>
      <w:r>
        <w:rPr>
          <w:rFonts w:ascii="Arial" w:cs="Arial" w:eastAsia="Arial" w:hAnsi="Arial"/>
          <w:b/>
          <w:bCs/>
          <w:color w:val="006D77"/>
          <w:sz w:val="26"/>
          <w:szCs w:val="26"/>
        </w:rPr>
        <w:t xml:space="preserve">5.4  Demonstration and Visualisation Script</w:t>
      </w:r>
    </w:p>
    <w:p>
      <w:pPr>
        <w:spacing w:after="120" w:before="60"/>
      </w:pPr>
      <w:r>
        <w:rPr>
          <w:rFonts w:ascii="Arial" w:cs="Arial" w:eastAsia="Arial" w:hAnsi="Arial"/>
          <w:sz w:val="20"/>
          <w:szCs w:val="20"/>
        </w:rPr>
        <w:t xml:space="preserve">File: </w:t>
      </w:r>
      <w:r>
        <w:rPr>
          <w:rFonts w:ascii="Arial" w:cs="Arial" w:eastAsia="Arial" w:hAnsi="Arial"/>
          <w:b/>
          <w:bCs/>
          <w:sz w:val="20"/>
          <w:szCs w:val="20"/>
        </w:rPr>
        <w:t xml:space="preserve">heat_ews_demo.py</w:t>
      </w:r>
      <w:r>
        <w:rPr>
          <w:rFonts w:ascii="Arial" w:cs="Arial" w:eastAsia="Arial" w:hAnsi="Arial"/>
          <w:sz w:val="20"/>
          <w:szCs w:val="20"/>
        </w:rPr>
        <w:t xml:space="preserve"> — python heat_ews_demo.py [--seasonal] [--csv FILE]</w:t>
      </w:r>
    </w:p>
    <w:p>
      <w:pPr>
        <w:spacing w:after="120" w:before="60"/>
      </w:pPr>
      <w:r>
        <w:rPr>
          <w:rFonts w:ascii="Arial" w:cs="Arial" w:eastAsia="Arial" w:hAnsi="Arial"/>
          <w:sz w:val="20"/>
          <w:szCs w:val="20"/>
        </w:rPr>
        <w:t xml:space="preserve">Generates nine charts for workshops and donor presentations. In live operation, the --csv flag accepts ENS-derived probability vectors extracted from ECMWF data. Three modes: built-in synthetic, seasonal synthetic, or real station/ENS data via CSV template.</w:t>
      </w:r>
    </w:p>
    <w:p>
      <w:pPr>
        <w:spacing w:after="120" w:before="0"/>
      </w:pPr>
    </w:p>
    <w:p>
      <w:pPr>
        <w:pStyle w:val="Heading2"/>
        <w:spacing w:after="80" w:before="240"/>
      </w:pPr>
      <w:r>
        <w:rPr>
          <w:rFonts w:ascii="Arial" w:cs="Arial" w:eastAsia="Arial" w:hAnsi="Arial"/>
          <w:b/>
          <w:bCs/>
          <w:color w:val="006D77"/>
          <w:sz w:val="26"/>
          <w:szCs w:val="26"/>
        </w:rPr>
        <w:t xml:space="preserve">5.5  Interactive Teaching Notebook</w:t>
      </w:r>
    </w:p>
    <w:p>
      <w:pPr>
        <w:spacing w:after="120" w:before="60"/>
      </w:pPr>
      <w:r>
        <w:rPr>
          <w:rFonts w:ascii="Arial" w:cs="Arial" w:eastAsia="Arial" w:hAnsi="Arial"/>
          <w:sz w:val="20"/>
          <w:szCs w:val="20"/>
        </w:rPr>
        <w:t xml:space="preserve">File: </w:t>
      </w:r>
      <w:r>
        <w:rPr>
          <w:rFonts w:ascii="Arial" w:cs="Arial" w:eastAsia="Arial" w:hAnsi="Arial"/>
          <w:b/>
          <w:bCs/>
          <w:sz w:val="20"/>
          <w:szCs w:val="20"/>
        </w:rPr>
        <w:t xml:space="preserve">heat_ews_demo.ipynb</w:t>
      </w:r>
      <w:r>
        <w:rPr>
          <w:rFonts w:ascii="Arial" w:cs="Arial" w:eastAsia="Arial" w:hAnsi="Arial"/>
          <w:sz w:val="20"/>
          <w:szCs w:val="20"/>
        </w:rPr>
        <w:t xml:space="preserve"> — Jupyter Lab or Notebook.</w:t>
      </w:r>
    </w:p>
    <w:p>
      <w:pPr>
        <w:spacing w:after="120" w:before="60"/>
      </w:pPr>
      <w:r>
        <w:rPr>
          <w:rFonts w:ascii="Arial" w:cs="Arial" w:eastAsia="Arial" w:hAnsi="Arial"/>
          <w:sz w:val="20"/>
          <w:szCs w:val="20"/>
        </w:rPr>
        <w:t xml:space="preserve">Five-part interactive training workbook designed for two audiences: the DoM forecaster and the sector user. The notebook teaches the system through a step-by-step narrative, making explicit where forecaster and sector user responsibilities divide and what information must flow between them.</w:t>
      </w:r>
    </w:p>
    <w:p>
      <w:pPr>
        <w:spacing w:after="80" w:before="100"/>
      </w:pPr>
      <w:r>
        <w:rPr>
          <w:rFonts w:ascii="Arial" w:cs="Arial" w:eastAsia="Arial" w:hAnsi="Arial"/>
          <w:b/>
          <w:bCs/>
          <w:sz w:val="20"/>
          <w:szCs w:val="20"/>
        </w:rPr>
        <w:t xml:space="preserve">Part 1 — Forecaster workflow</w:t>
      </w:r>
      <w:r>
        <w:rPr>
          <w:rFonts w:ascii="Arial" w:cs="Arial" w:eastAsia="Arial" w:hAnsi="Arial"/>
          <w:sz w:val="20"/>
          <w:szCs w:val="20"/>
        </w:rPr>
        <w:t xml:space="preserve"> (Sections 1–5): Data preparation, climatological baseline, probability model calibration, and verification against held-out data (Brier scores, POD, FAR, CSI). Ends with the explicit Tier 1 forecast output — the forecaster’s first independent operational product.</w:t>
      </w:r>
    </w:p>
    <w:p>
      <w:pPr>
        <w:spacing w:after="80" w:before="60"/>
      </w:pPr>
      <w:r>
        <w:rPr>
          <w:rFonts w:ascii="Arial" w:cs="Arial" w:eastAsia="Arial" w:hAnsi="Arial"/>
          <w:b/>
          <w:bCs/>
          <w:sz w:val="20"/>
          <w:szCs w:val="20"/>
        </w:rPr>
        <w:t xml:space="preserve">Part 2 — Tier 2 without sector consultation</w:t>
      </w:r>
      <w:r>
        <w:rPr>
          <w:rFonts w:ascii="Arial" w:cs="Arial" w:eastAsia="Arial" w:hAnsi="Arial"/>
          <w:sz w:val="20"/>
          <w:szCs w:val="20"/>
        </w:rPr>
        <w:t xml:space="preserve"> (Sections 6–7): Shows that the forecaster can issue the Impact Advisory (Tier 2) independently because the Balanced parameters are pre-agreed and fixed in the system. Includes a p* comparison table and Tier 1 vs Tier 2 divergence illustration.</w:t>
      </w:r>
    </w:p>
    <w:p>
      <w:pPr>
        <w:spacing w:after="80" w:before="60"/>
      </w:pPr>
      <w:r>
        <w:rPr>
          <w:rFonts w:ascii="Arial" w:cs="Arial" w:eastAsia="Arial" w:hAnsi="Arial"/>
          <w:b/>
          <w:bCs/>
          <w:sz w:val="20"/>
          <w:szCs w:val="20"/>
        </w:rPr>
        <w:t xml:space="preserve">Part 3 — The sector user’s world</w:t>
      </w:r>
      <w:r>
        <w:rPr>
          <w:rFonts w:ascii="Arial" w:cs="Arial" w:eastAsia="Arial" w:hAnsi="Arial"/>
          <w:sz w:val="20"/>
          <w:szCs w:val="20"/>
        </w:rPr>
        <w:t xml:space="preserve"> (Sections 7–9): Loss matrices for all seven Tier 3 sectors, p* calculation from first principles, and the key demonstration that a sector user cannot optimise their action from the warning colour alone — they need the probability vector p(x) from the forecaster.</w:t>
      </w:r>
    </w:p>
    <w:p>
      <w:pPr>
        <w:spacing w:after="80" w:before="60"/>
      </w:pPr>
      <w:r>
        <w:rPr>
          <w:rFonts w:ascii="Arial" w:cs="Arial" w:eastAsia="Arial" w:hAnsi="Arial"/>
          <w:b/>
          <w:bCs/>
          <w:sz w:val="20"/>
          <w:szCs w:val="20"/>
        </w:rPr>
        <w:t xml:space="preserve">Part 4 — The handoff</w:t>
      </w:r>
      <w:r>
        <w:rPr>
          <w:rFonts w:ascii="Arial" w:cs="Arial" w:eastAsia="Arial" w:hAnsi="Arial"/>
          <w:sz w:val="20"/>
          <w:szCs w:val="20"/>
        </w:rPr>
        <w:t xml:space="preserve"> (Sections 10–11): The explicit two-step pipeline. Step 1: forecaster computes calibrated p(x) and issues Tier 1 and Tier 2. Step 2: sector users apply their own loss matrices to p(x) and derive sector-optimal decisions. Section 10 is the primary interactive cell: enter the four ENS category probabilities and see differentiated warnings across all tiers and sectors.</w:t>
      </w:r>
    </w:p>
    <w:p>
      <w:pPr>
        <w:spacing w:after="120" w:before="60"/>
      </w:pPr>
      <w:r>
        <w:rPr>
          <w:rFonts w:ascii="Arial" w:cs="Arial" w:eastAsia="Arial" w:hAnsi="Arial"/>
          <w:b/>
          <w:bCs/>
          <w:sz w:val="20"/>
          <w:szCs w:val="20"/>
        </w:rPr>
        <w:t xml:space="preserve">Part 5 — Threshold refinement</w:t>
      </w:r>
      <w:r>
        <w:rPr>
          <w:rFonts w:ascii="Arial" w:cs="Arial" w:eastAsia="Arial" w:hAnsi="Arial"/>
          <w:sz w:val="20"/>
          <w:szCs w:val="20"/>
        </w:rPr>
        <w:t xml:space="preserve"> (Section 11): Decision boundary maps showing how HI category boundaries interact with the Bayesian optimal decision surface. Re-run with real Colombo station data to validate or adjust operational thresholds ahead of each season.</w:t>
      </w:r>
    </w:p>
    <w:p>
      <w:pPr>
        <w:spacing w:after="120" w:before="0"/>
      </w:pPr>
    </w:p>
    <w:p>
      <w:pPr>
        <w:pStyle w:val="Heading2"/>
        <w:spacing w:after="80" w:before="240"/>
      </w:pPr>
      <w:r>
        <w:rPr>
          <w:rFonts w:ascii="Arial" w:cs="Arial" w:eastAsia="Arial" w:hAnsi="Arial"/>
          <w:b/>
          <w:bCs/>
          <w:color w:val="006D77"/>
          <w:sz w:val="26"/>
          <w:szCs w:val="26"/>
        </w:rPr>
        <w:t xml:space="preserve">5.6  Sector Heat Loss Estimator</w:t>
      </w:r>
    </w:p>
    <w:p>
      <w:pPr>
        <w:spacing w:after="120" w:before="60"/>
      </w:pPr>
      <w:r>
        <w:rPr>
          <w:rFonts w:ascii="Arial" w:cs="Arial" w:eastAsia="Arial" w:hAnsi="Arial"/>
          <w:sz w:val="20"/>
          <w:szCs w:val="20"/>
        </w:rPr>
        <w:t xml:space="preserve">File: </w:t>
      </w:r>
      <w:r>
        <w:rPr>
          <w:rFonts w:ascii="Arial" w:cs="Arial" w:eastAsia="Arial" w:hAnsi="Arial"/>
          <w:b/>
          <w:bCs/>
          <w:sz w:val="20"/>
          <w:szCs w:val="20"/>
        </w:rPr>
        <w:t xml:space="preserve">heat_loss_estimator.html</w:t>
      </w:r>
      <w:r>
        <w:rPr>
          <w:rFonts w:ascii="Arial" w:cs="Arial" w:eastAsia="Arial" w:hAnsi="Arial"/>
          <w:sz w:val="20"/>
          <w:szCs w:val="20"/>
        </w:rPr>
        <w:t xml:space="preserve"> — standalone browser tool; also integrated as Tab 4 of the v3 dashboard.</w:t>
      </w:r>
    </w:p>
    <w:p>
      <w:pPr>
        <w:spacing w:after="120" w:before="60"/>
      </w:pPr>
      <w:r>
        <w:rPr>
          <w:rFonts w:ascii="Arial" w:cs="Arial" w:eastAsia="Arial" w:hAnsi="Arial"/>
          <w:sz w:val="20"/>
          <w:szCs w:val="20"/>
        </w:rPr>
        <w:t xml:space="preserve">Translates the abstract Bayesian loss matrix into a concrete economic narrative for seven sectors: health, outdoor labour, disaster management, garment &amp; apparel, tourism, energy, and agriculture. An interactive semicircular gauge renders expected loss as a percentage of each sector’s baseline economic exposure, updating in real time as the user adjusts the ECMWF ENS probability vector. This makes the “cost of inaction” tangible for non-technical stakeholders and supports the C/L calibration conversations recommended in the validation workshop (Section 9.1).</w:t>
      </w:r>
    </w:p>
    <w:p>
      <w:pPr>
        <w:spacing w:after="120" w:before="0"/>
      </w:pPr>
    </w:p>
    <w:p>
      <w:pPr>
        <w:pStyle w:val="Heading2"/>
        <w:spacing w:after="80" w:before="240"/>
      </w:pPr>
      <w:r>
        <w:rPr>
          <w:rFonts w:ascii="Arial" w:cs="Arial" w:eastAsia="Arial" w:hAnsi="Arial"/>
          <w:b/>
          <w:bCs/>
          <w:color w:val="006D77"/>
          <w:sz w:val="26"/>
          <w:szCs w:val="26"/>
        </w:rPr>
        <w:t xml:space="preserve">5.7  Personal Heat Risk Profiler</w:t>
      </w:r>
    </w:p>
    <w:p>
      <w:pPr>
        <w:spacing w:after="120" w:before="60"/>
      </w:pPr>
      <w:r>
        <w:rPr>
          <w:rFonts w:ascii="Arial" w:cs="Arial" w:eastAsia="Arial" w:hAnsi="Arial"/>
          <w:sz w:val="20"/>
          <w:szCs w:val="20"/>
        </w:rPr>
        <w:t xml:space="preserve">File: </w:t>
      </w:r>
      <w:r>
        <w:rPr>
          <w:rFonts w:ascii="Arial" w:cs="Arial" w:eastAsia="Arial" w:hAnsi="Arial"/>
          <w:b/>
          <w:bCs/>
          <w:sz w:val="20"/>
          <w:szCs w:val="20"/>
        </w:rPr>
        <w:t xml:space="preserve">personal_heat_risk.html</w:t>
      </w:r>
      <w:r>
        <w:rPr>
          <w:rFonts w:ascii="Arial" w:cs="Arial" w:eastAsia="Arial" w:hAnsi="Arial"/>
          <w:sz w:val="20"/>
          <w:szCs w:val="20"/>
        </w:rPr>
        <w:t xml:space="preserve"> — standalone mobile-friendly tool; also integrated as Tab 5 of the v3 dashboard.</w:t>
      </w:r>
    </w:p>
    <w:p>
      <w:pPr>
        <w:spacing w:after="120" w:before="60"/>
      </w:pPr>
      <w:r>
        <w:rPr>
          <w:rFonts w:ascii="Arial" w:cs="Arial" w:eastAsia="Arial" w:hAnsi="Arial"/>
          <w:sz w:val="20"/>
          <w:szCs w:val="20"/>
        </w:rPr>
        <w:t xml:space="preserve">Extends the Bayesian decision framework from the institutional to the individual level. A five-screen guided wizard collects ten inputs across four domains: personal characteristics (age, pregnancy), chronic health conditions (cardiovascular disease, diabetes, kidney disease, respiratory, mental health, obesity), medications (diuretics, blood-pressure drugs, antipsychotics, antihistamines, diabetes medications), and daily circumstances (outdoor exposure, daytime cooling access, night-time heat, routine flexibility, social support).</w:t>
      </w:r>
    </w:p>
    <w:p>
      <w:pPr>
        <w:spacing w:after="120" w:before="60"/>
      </w:pPr>
      <w:r>
        <w:rPr>
          <w:rFonts w:ascii="Arial" w:cs="Arial" w:eastAsia="Arial" w:hAnsi="Arial"/>
          <w:sz w:val="20"/>
          <w:szCs w:val="20"/>
        </w:rPr>
        <w:t xml:space="preserve">The tool computes a Vulnerability Index (VI) and a Cost-of-Action score (C), derives an individual optimal decision threshold p* = C/L (with protective caps for HIGH and VERY HIGH risk profiles), and maps p* to a personalised alert colour. Results include a semicircular gauge, risk tier badge, the alert level at which the individual should take protective action, up to six personal risk factors, and up to six tailored protective-action tips. The tool is designed to be embedded in public communication materials and hosted at any URL with no server requirement.</w:t>
      </w:r>
    </w:p>
    <w:p>
      <w:pPr>
        <w:spacing w:after="120" w:before="0"/>
      </w:pPr>
    </w:p>
    <w:p>
      <w:pPr>
        <w:pStyle w:val="Heading2"/>
        <w:spacing w:after="80" w:before="240"/>
      </w:pPr>
      <w:r>
        <w:rPr>
          <w:rFonts w:ascii="Arial" w:cs="Arial" w:eastAsia="Arial" w:hAnsi="Arial"/>
          <w:b/>
          <w:bCs/>
          <w:color w:val="006D77"/>
          <w:sz w:val="26"/>
          <w:szCs w:val="26"/>
        </w:rPr>
        <w:t xml:space="preserve">5.8  Technical Results Reference</w:t>
      </w:r>
    </w:p>
    <w:p>
      <w:pPr>
        <w:spacing w:after="120" w:before="60"/>
      </w:pPr>
      <w:r>
        <w:rPr>
          <w:rFonts w:ascii="Arial" w:cs="Arial" w:eastAsia="Arial" w:hAnsi="Arial"/>
          <w:sz w:val="20"/>
          <w:szCs w:val="20"/>
        </w:rPr>
        <w:t xml:space="preserve">File: </w:t>
      </w:r>
      <w:r>
        <w:rPr>
          <w:rFonts w:ascii="Arial" w:cs="Arial" w:eastAsia="Arial" w:hAnsi="Arial"/>
          <w:b/>
          <w:bCs/>
          <w:sz w:val="20"/>
          <w:szCs w:val="20"/>
        </w:rPr>
        <w:t xml:space="preserve">heat_ews_results.docx</w:t>
      </w:r>
      <w:r>
        <w:rPr>
          <w:rFonts w:ascii="Arial" w:cs="Arial" w:eastAsia="Arial" w:hAnsi="Arial"/>
          <w:sz w:val="20"/>
          <w:szCs w:val="20"/>
        </w:rPr>
        <w:t xml:space="preserve"> — print-ready Word document with embedded figures.</w:t>
      </w:r>
    </w:p>
    <w:p>
      <w:pPr>
        <w:spacing w:after="120" w:before="60"/>
      </w:pPr>
      <w:r>
        <w:rPr>
          <w:rFonts w:ascii="Arial" w:cs="Arial" w:eastAsia="Arial" w:hAnsi="Arial"/>
          <w:sz w:val="20"/>
          <w:szCs w:val="20"/>
        </w:rPr>
        <w:t xml:space="preserve">Plain-language write-up of all system results, intended for stakeholders who are not Python users. Covers the three-tier architecture, all seven verification figures, the two-step forecaster/sector-user pipeline, the sector decision table, and the immediate implementation pathway. Designed to accompany workshop presentations and donor briefings as a leave-behind reference.</w:t>
      </w:r>
    </w:p>
    <w:p>
      <w:pPr>
        <w:spacing w:after="120" w:before="0"/>
      </w:pPr>
    </w:p>
    <w:p>
      <w:pPr>
        <w:pStyle w:val="Heading1"/>
        <w:spacing w:after="120" w:before="360"/>
      </w:pPr>
      <w:r>
        <w:rPr>
          <w:rFonts w:ascii="Arial" w:cs="Arial" w:eastAsia="Arial" w:hAnsi="Arial"/>
          <w:b/>
          <w:bCs/>
          <w:color w:val="1B3A6B"/>
          <w:sz w:val="32"/>
          <w:szCs w:val="32"/>
        </w:rPr>
        <w:t xml:space="preserve">6.  Data Requirements and Integration</w:t>
      </w:r>
    </w:p>
    <w:p>
      <w:pPr>
        <w:pBdr>
          <w:bottom w:val="single" w:color="1B3A6B" w:sz="6" w:space="1"/>
        </w:pBdr>
        <w:spacing w:after="0" w:before="0"/>
      </w:pPr>
    </w:p>
    <w:p>
      <w:pPr>
        <w:spacing w:after="80" w:before="0"/>
      </w:pPr>
    </w:p>
    <w:p>
      <w:pPr>
        <w:pStyle w:val="Heading2"/>
        <w:spacing w:after="80" w:before="240"/>
      </w:pPr>
      <w:r>
        <w:rPr>
          <w:rFonts w:ascii="Arial" w:cs="Arial" w:eastAsia="Arial" w:hAnsi="Arial"/>
          <w:b/>
          <w:bCs/>
          <w:color w:val="006D77"/>
          <w:sz w:val="26"/>
          <w:szCs w:val="26"/>
        </w:rPr>
        <w:t xml:space="preserve">6.1  Required Inputs</w:t>
      </w:r>
    </w:p>
    <w:p>
      <w:pPr>
        <w:spacing w:after="120" w:before="60"/>
      </w:pPr>
      <w:r>
        <w:rPr>
          <w:rFonts w:ascii="Arial" w:cs="Arial" w:eastAsia="Arial" w:hAnsi="Arial"/>
          <w:sz w:val="20"/>
          <w:szCs w:val="20"/>
        </w:rPr>
        <w:t xml:space="preserve">The system requires two data streams that DoM already holds or can access through existing ECMWF arrangements: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Stream</w:t>
            </w:r>
          </w:p>
        </w:tc>
        <w:tc>
          <w:tcPr>
            <w:tcW w:type="dxa" w:w="2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Source</w:t>
            </w:r>
          </w:p>
        </w:tc>
        <w:tc>
          <w:tcPr>
            <w:tcW w:type="dxa" w:w="45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 in System</w:t>
            </w:r>
          </w:p>
        </w:tc>
      </w:tr>
      <w:tr>
        <w:tc>
          <w:tcPr>
            <w:tcW w:type="dxa" w:w="2600"/>
            <w:tcBorders>
              <w:top w:val="single" w:color="CCCCCC" w:sz="4"/>
              <w:left w:val="single" w:color="CCCCCC" w:sz="4"/>
              <w:bottom w:val="single" w:color="CCCCCC" w:sz="4"/>
              <w:right w:val="single" w:color="CCCCCC" w:sz="4"/>
            </w:tcBorders>
            <w:shd w:fill="E0F7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ECMWF ENS: T2m, RH, wind, MRT
(51 members, 00Z/12Z, +15 days, 0.2°)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ECMWF MARS / real-time dissemination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Compute Heat Index and UTCI for each of 51 members. Count members in each severity category to form the probability vector p = (p₁, p₂, p₃, p₄) that drives all warning decisions.</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Historical station observations
Colombo: Tmax, RH, computed HI
(daily, minimum 3 years, ideally 10+)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DoM station archive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Fit the climatological prior (frequency of each severity category by day-of-year). Calibrate the CAL model against matched ENS reforecast archive. Compute seasonal verification scores.</w:t>
            </w:r>
          </w:p>
        </w:tc>
      </w:tr>
    </w:tbl>
    <w:p>
      <w:pPr>
        <w:spacing w:after="80" w:before="0"/>
      </w:pPr>
    </w:p>
    <w:p>
      <w:pPr>
        <w:spacing w:after="120" w:before="60"/>
      </w:pPr>
      <w:r>
        <w:rPr>
          <w:rFonts w:ascii="Arial" w:cs="Arial" w:eastAsia="Arial" w:hAnsi="Arial"/>
          <w:sz w:val="20"/>
          <w:szCs w:val="20"/>
        </w:rPr>
        <w:t xml:space="preserve">For Bayesian calibration, ECMWF provides a reforecast dataset (hindcasts generated with the current model version for past dates) that can be matched against the station archive. This enables fitting the CAL model before any real-time operational run.</w:t>
      </w:r>
    </w:p>
    <w:p>
      <w:pPr>
        <w:spacing w:after="80" w:before="0"/>
      </w:pPr>
    </w:p>
    <w:p>
      <w:pPr>
        <w:pStyle w:val="Heading2"/>
        <w:spacing w:after="80" w:before="240"/>
      </w:pPr>
      <w:r>
        <w:rPr>
          <w:rFonts w:ascii="Arial" w:cs="Arial" w:eastAsia="Arial" w:hAnsi="Arial"/>
          <w:b/>
          <w:bCs/>
          <w:color w:val="006D77"/>
          <w:sz w:val="26"/>
          <w:szCs w:val="26"/>
        </w:rPr>
        <w:t xml:space="preserve">6.2  The CSV Input Format</w:t>
      </w:r>
    </w:p>
    <w:p>
      <w:pPr>
        <w:spacing w:after="120" w:before="60"/>
      </w:pPr>
      <w:r>
        <w:rPr>
          <w:rFonts w:ascii="Arial" w:cs="Arial" w:eastAsia="Arial" w:hAnsi="Arial"/>
          <w:sz w:val="20"/>
          <w:szCs w:val="20"/>
        </w:rPr>
        <w:t xml:space="preserve">For operational use, ENS member data is preprocessed outside the Python tool (e.g., by a ECMWF-data extraction script or MARS retrieval) and supplied as a CSV with four probability columns. The demo script generates a template (colombo_data_template.csv) specifying exact column names and expected value ranges. This is the interface between DoM’s existing ECMWF data pipeline and the Bayesian warning framework.</w:t>
      </w:r>
    </w:p>
    <w:p>
      <w:pPr>
        <w:spacing w:after="80" w:before="0"/>
      </w:pPr>
    </w:p>
    <w:p>
      <w:pPr>
        <w:pStyle w:val="Heading2"/>
        <w:spacing w:after="80" w:before="240"/>
      </w:pPr>
      <w:r>
        <w:rPr>
          <w:rFonts w:ascii="Arial" w:cs="Arial" w:eastAsia="Arial" w:hAnsi="Arial"/>
          <w:b/>
          <w:bCs/>
          <w:color w:val="006D77"/>
          <w:sz w:val="26"/>
          <w:szCs w:val="26"/>
        </w:rPr>
        <w:t xml:space="preserve">6.3  Integration Pathway</w:t>
      </w:r>
    </w:p>
    <w:p>
      <w:pPr>
        <w:spacing w:after="60" w:before="0"/>
      </w:pPr>
    </w:p>
    <w:p>
      <w:pPr>
        <w:pStyle w:val="ListParagraph"/>
        <w:numPr>
          <w:ilvl w:val="0"/>
          <w:numId w:val="2"/>
        </w:numPr>
        <w:spacing w:after="40" w:before="40"/>
      </w:pPr>
      <w:r>
        <w:rPr>
          <w:rFonts w:ascii="Arial" w:cs="Arial" w:eastAsia="Arial" w:hAnsi="Arial"/>
          <w:sz w:val="20"/>
          <w:szCs w:val="20"/>
        </w:rPr>
        <w:t xml:space="preserve">Phase 1 — Historical calibration: match Colombo station observations against ECMWF ENS reforecast archive. Fit climatological baseline and CAL model parameters. Validate Brier scores against a withheld season.</w:t>
      </w:r>
    </w:p>
    <w:p>
      <w:pPr>
        <w:pStyle w:val="ListParagraph"/>
        <w:numPr>
          <w:ilvl w:val="0"/>
          <w:numId w:val="2"/>
        </w:numPr>
        <w:spacing w:after="40" w:before="40"/>
      </w:pPr>
      <w:r>
        <w:rPr>
          <w:rFonts w:ascii="Arial" w:cs="Arial" w:eastAsia="Arial" w:hAnsi="Arial"/>
          <w:sz w:val="20"/>
          <w:szCs w:val="20"/>
        </w:rPr>
        <w:t xml:space="preserve">Phase 2 — Retrospective parallel run: run the system against at least one historical February3April season with calibrated parameters. Present verification results to DoM operational forecasters.</w:t>
      </w:r>
    </w:p>
    <w:p>
      <w:pPr>
        <w:pStyle w:val="ListParagraph"/>
        <w:numPr>
          <w:ilvl w:val="0"/>
          <w:numId w:val="2"/>
        </w:numPr>
        <w:spacing w:after="40" w:before="40"/>
      </w:pPr>
      <w:r>
        <w:rPr>
          <w:rFonts w:ascii="Arial" w:cs="Arial" w:eastAsia="Arial" w:hAnsi="Arial"/>
          <w:sz w:val="20"/>
          <w:szCs w:val="20"/>
        </w:rPr>
        <w:t xml:space="preserve">Phase 3 — Operational pilot: run in parallel with existing DoM practice during February3April 2027. ENS data extracted twice daily; probability vectors fed to the Python tool; advisory text generated automatically; sector action cards circulated.</w:t>
      </w:r>
    </w:p>
    <w:p>
      <w:pPr>
        <w:pStyle w:val="ListParagraph"/>
        <w:numPr>
          <w:ilvl w:val="0"/>
          <w:numId w:val="2"/>
        </w:numPr>
        <w:spacing w:after="40" w:before="40"/>
      </w:pPr>
      <w:r>
        <w:rPr>
          <w:rFonts w:ascii="Arial" w:cs="Arial" w:eastAsia="Arial" w:hAnsi="Arial"/>
          <w:sz w:val="20"/>
          <w:szCs w:val="20"/>
        </w:rPr>
        <w:t xml:space="preserve">Phase 4 — Full integration: system outputs replace deterministic threshold-crossing as the basis for official warnings. Sector focal points receive calibrated sector-specific activation signals automatically.</w:t>
      </w:r>
    </w:p>
    <w:p>
      <w:pPr>
        <w:spacing w:after="120" w:before="0"/>
      </w:pPr>
    </w:p>
    <w:p>
      <w:pPr>
        <w:pStyle w:val="Heading1"/>
        <w:spacing w:after="120" w:before="360"/>
      </w:pPr>
      <w:r>
        <w:rPr>
          <w:rFonts w:ascii="Arial" w:cs="Arial" w:eastAsia="Arial" w:hAnsi="Arial"/>
          <w:b/>
          <w:bCs/>
          <w:color w:val="1B3A6B"/>
          <w:sz w:val="32"/>
          <w:szCs w:val="32"/>
        </w:rPr>
        <w:t xml:space="preserve">7.  Post-Event Forensic Learning</w:t>
      </w:r>
    </w:p>
    <w:p>
      <w:pPr>
        <w:pBdr>
          <w:bottom w:val="single" w:color="1B3A6B" w:sz="6" w:space="1"/>
        </w:pBdr>
        <w:spacing w:after="0" w:before="0"/>
      </w:pPr>
    </w:p>
    <w:p>
      <w:pPr>
        <w:spacing w:after="80" w:before="0"/>
      </w:pPr>
    </w:p>
    <w:p>
      <w:pPr>
        <w:spacing w:after="120" w:before="60"/>
      </w:pPr>
      <w:r>
        <w:rPr>
          <w:rFonts w:ascii="Arial" w:cs="Arial" w:eastAsia="Arial" w:hAnsi="Arial"/>
          <w:sz w:val="20"/>
          <w:szCs w:val="20"/>
        </w:rPr>
        <w:t xml:space="preserve">The system incorporates a structured forensic review mechanism based on the FORIN methodology (UNDRR GAR 2024), adapted from the TC Ditwah forensic platform developed by the same DoM/DMC institutional network. The forensic matrix evaluates each major heat event across four EW4All pillars (Risk Knowledge, Monitoring and Warning, Dissemination and Communication, Response Capability) against four analytical lenses (What Happened, Why, What Changed, What to Do Differently).</w:t>
      </w:r>
    </w:p>
    <w:p>
      <w:pPr>
        <w:spacing w:after="120" w:before="60"/>
      </w:pPr>
      <w:r>
        <w:rPr>
          <w:rFonts w:ascii="Arial" w:cs="Arial" w:eastAsia="Arial" w:hAnsi="Arial"/>
          <w:sz w:val="20"/>
          <w:szCs w:val="20"/>
        </w:rPr>
        <w:t xml:space="preserve">After each Red-level event, DoM completes the 16-cell matrix within 30 days. Outputs feed directly back into the system: verification scores update the calibration; sector responses update the action cards; threshold parameters can be adjusted with stakeholder agreement. This produces a warning system that improves measurably with every season, rather than remaining static.</w:t>
      </w:r>
    </w:p>
    <w:p>
      <w:pPr>
        <w:spacing w:after="120" w:before="0"/>
      </w:pPr>
    </w:p>
    <w:p>
      <w:pPr>
        <w:pStyle w:val="Heading1"/>
        <w:spacing w:after="120" w:before="360"/>
      </w:pPr>
      <w:r>
        <w:rPr>
          <w:rFonts w:ascii="Arial" w:cs="Arial" w:eastAsia="Arial" w:hAnsi="Arial"/>
          <w:b/>
          <w:bCs/>
          <w:color w:val="1B3A6B"/>
          <w:sz w:val="32"/>
          <w:szCs w:val="32"/>
        </w:rPr>
        <w:t xml:space="preserve">8.  Theoretical Foundations</w:t>
      </w:r>
    </w:p>
    <w:p>
      <w:pPr>
        <w:pBdr>
          <w:bottom w:val="single" w:color="1B3A6B" w:sz="6" w:space="1"/>
        </w:pBdr>
        <w:spacing w:after="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Source</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Contribution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Economou et al. (2016)
Proc. R. Soc. A 472: 20160295</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Core Bayesian decision framework: power-law loss function, three-model architecture (CLIM/CAL/ENS), Bayes decision rule, verification methodology. Originally developed for Met Office precipitation ensemble warnings; adapted here for ECMWF heat index ensembles.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Rogers (2026)
NMHS Prescriptive Models Working Paper v18</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Sector-specific action framework: Health, Agriculture, Education, Labour action matrices. Institutional dissemination chain design. IBF operational workflow for National Meteorological and Hydrological Services.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ECMWF ENS Documentation
ECMWF Technical Memoranda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Ensemble Prediction System architecture: 51 members, perturbation methodology, reforecast provision, MARS data access. Provides the probabilistic input that the entire decision framework depends upon.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Sri Lanka DoM (2018)
Heat Index Classification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National threshold definitions (Normal/Caution/Extreme Caution/Danger) that structure the four severity categories. These anchor the official warning levels and provide public communication continuity.</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National Demonstration Plan Overview
Sri Lanka IBF, Colombo District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Operational context: pilot district, stakeholder network, Feb3Apr heat season focus. Explicitly identifies threshold refinement, impact tables, and impact validation as support needs — all addressed by this system.</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TC Ditwah Forensic Analysis (2025)
DoM/DMC FORIN Platform</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FORIN forensic methodology (EW4All × four-lens matrix). Same DoM/DMC institutional actors. Demonstrates complementary multi-hazard forensic infrastructure into which the heat EWS post-event review integrates.</w:t>
            </w:r>
          </w:p>
        </w:tc>
      </w:tr>
    </w:tbl>
    <w:p>
      <w:pPr>
        <w:spacing w:after="120" w:before="0"/>
      </w:pPr>
    </w:p>
    <w:p>
      <w:pPr>
        <w:pStyle w:val="Heading1"/>
        <w:spacing w:after="120" w:before="360"/>
      </w:pPr>
      <w:r>
        <w:rPr>
          <w:rFonts w:ascii="Arial" w:cs="Arial" w:eastAsia="Arial" w:hAnsi="Arial"/>
          <w:b/>
          <w:bCs/>
          <w:color w:val="1B3A6B"/>
          <w:sz w:val="32"/>
          <w:szCs w:val="32"/>
        </w:rPr>
        <w:t xml:space="preserve">9.  Recommended Next Steps</w:t>
      </w:r>
    </w:p>
    <w:p>
      <w:pPr>
        <w:pBdr>
          <w:bottom w:val="single" w:color="1B3A6B" w:sz="6" w:space="1"/>
        </w:pBdr>
        <w:spacing w:after="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6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Action</w:t>
            </w:r>
          </w:p>
        </w:tc>
        <w:tc>
          <w:tcPr>
            <w:tcW w:type="dxa" w:w="61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Detail</w:t>
            </w:r>
          </w:p>
        </w:tc>
      </w:tr>
      <w:tr>
        <w:tc>
          <w:tcPr>
            <w:tcW w:type="dxa" w:w="600"/>
            <w:tcBorders>
              <w:top w:val="single" w:color="CCCCCC" w:sz="4"/>
              <w:left w:val="single" w:color="CCCCCC" w:sz="4"/>
              <w:bottom w:val="single" w:color="CCCCCC" w:sz="4"/>
              <w:right w:val="single" w:color="CCCCCC" w:sz="4"/>
            </w:tcBorders>
            <w:shd w:fill="E0F7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ECMWF ENS reforecast extraction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Extract ECMWF ENS reforecast data (T2m, RH, wind) for Colombo grid point for the past 10+ years via MARS or the ECMWF Web API. Compute Heat Index for each of the 51 members per day. This is the foundational dataset for all calibration.</w:t>
            </w:r>
          </w:p>
        </w:tc>
      </w:tr>
      <w:tr>
        <w:tc>
          <w:tcPr>
            <w:tcW w:type="dxa" w:w="600"/>
            <w:tcBorders>
              <w:top w:val="single" w:color="CCCCCC" w:sz="4"/>
              <w:left w:val="single" w:color="CCCCCC" w:sz="4"/>
              <w:bottom w:val="single" w:color="CCCCCC" w:sz="4"/>
              <w:right w:val="single" w:color="CCCCCC" w:sz="4"/>
            </w:tcBorders>
            <w:shd w:fill="E0F7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Station data matching</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Match reforecast ENS member distributions against Colombo observed Heat Index for the same dates. Fit the CAL model: estimate the likelihood function p(y|x) for each severity category.</w:t>
            </w:r>
          </w:p>
        </w:tc>
      </w:tr>
      <w:tr>
        <w:tc>
          <w:tcPr>
            <w:tcW w:type="dxa" w:w="600"/>
            <w:tcBorders>
              <w:top w:val="single" w:color="CCCCCC" w:sz="4"/>
              <w:left w:val="single" w:color="CCCCCC" w:sz="4"/>
              <w:bottom w:val="single" w:color="CCCCCC" w:sz="4"/>
              <w:right w:val="single" w:color="CCCCCC" w:sz="4"/>
            </w:tcBorders>
            <w:shd w:fill="E0F7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C/L stakeholder workshop</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Convene Health, Outdoor Labour, Disaster Management, Tourism, Energy, Agriculture, and Education representatives with the HTML dashboard. Use the probability sliders to validate sector activation thresholds. Adjust C/L parameters where default assumptions do not reflect operational reality. 2-hour structured session.</w:t>
            </w:r>
          </w:p>
        </w:tc>
      </w:tr>
      <w:tr>
        <w:tc>
          <w:tcPr>
            <w:tcW w:type="dxa" w:w="600"/>
            <w:tcBorders>
              <w:top w:val="single" w:color="CCCCCC" w:sz="4"/>
              <w:left w:val="single" w:color="CCCCCC" w:sz="4"/>
              <w:bottom w:val="single" w:color="CCCCCC" w:sz="4"/>
              <w:right w:val="single" w:color="CCCCCC" w:sz="4"/>
            </w:tcBorders>
            <w:shd w:fill="E0F7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Retrospective season verification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Run the calibrated CAL model against at least one historical February3April season. Compute Brier scores and skill metrics. Compare CAL against CLIM baseline and raw ENS to demonstrate calibration value. Present to DoM operational forecasters.</w:t>
            </w:r>
          </w:p>
        </w:tc>
      </w:tr>
      <w:tr>
        <w:tc>
          <w:tcPr>
            <w:tcW w:type="dxa" w:w="600"/>
            <w:tcBorders>
              <w:top w:val="single" w:color="CCCCCC" w:sz="4"/>
              <w:left w:val="single" w:color="CCCCCC" w:sz="4"/>
              <w:bottom w:val="single" w:color="CCCCCC" w:sz="4"/>
              <w:right w:val="single" w:color="CCCCCC" w:sz="4"/>
            </w:tcBorders>
            <w:shd w:fill="E0F7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Forecaster training</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Half-day workshop using the Jupyter notebook. Forecasters learn to read ENS probability distributions, enter them as four-category vectors, interpret the Bayesian output, and generate sector advisory text. Section 8 interactive cell is the primary training vehicle.</w:t>
            </w:r>
          </w:p>
        </w:tc>
      </w:tr>
      <w:tr>
        <w:tc>
          <w:tcPr>
            <w:tcW w:type="dxa" w:w="600"/>
            <w:tcBorders>
              <w:top w:val="single" w:color="CCCCCC" w:sz="4"/>
              <w:left w:val="single" w:color="CCCCCC" w:sz="4"/>
              <w:bottom w:val="single" w:color="CCCCCC" w:sz="4"/>
              <w:right w:val="single" w:color="CCCCCC" w:sz="4"/>
            </w:tcBorders>
            <w:shd w:fill="E0F7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Real-time ENS pipeline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Establish a twice-daily automated extraction: ECMWF ENS 00Z/12Z → compute HI per member → count category exceedances → write probability vector to CSV → Python tool generates warning recommendation and advisory text automatically.</w:t>
            </w:r>
          </w:p>
        </w:tc>
      </w:tr>
      <w:tr>
        <w:tc>
          <w:tcPr>
            <w:tcW w:type="dxa" w:w="600"/>
            <w:tcBorders>
              <w:top w:val="single" w:color="CCCCCC" w:sz="4"/>
              <w:left w:val="single" w:color="CCCCCC" w:sz="4"/>
              <w:bottom w:val="single" w:color="CCCCCC" w:sz="4"/>
              <w:right w:val="single" w:color="CCCCCC" w:sz="4"/>
            </w:tcBorders>
            <w:shd w:fill="E0F7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Operational pilot, Mar–May 2027</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Run the full system in parallel with existing DoM practice for one complete heat season. Daily probability vectors from ENS. Sector action cards circulated automatically. Post-season forensic review using the FORIN matrix. Brier scores computed to close the learning loop.</w:t>
            </w:r>
          </w:p>
        </w:tc>
      </w:tr>
    </w:tbl>
    <w:p>
      <w:pPr>
        <w:spacing w:after="120" w:before="0"/>
      </w:pPr>
    </w:p>
    <w:p>
      <w:pPr>
        <w:pStyle w:val="Heading1"/>
        <w:spacing w:after="120" w:before="360"/>
      </w:pPr>
      <w:r>
        <w:rPr>
          <w:rFonts w:ascii="Arial" w:cs="Arial" w:eastAsia="Arial" w:hAnsi="Arial"/>
          <w:b/>
          <w:bCs/>
          <w:color w:val="1B3A6B"/>
          <w:sz w:val="32"/>
          <w:szCs w:val="32"/>
        </w:rPr>
        <w:t xml:space="preserve">10.  Conclusion</w:t>
      </w:r>
    </w:p>
    <w:p>
      <w:pPr>
        <w:pBdr>
          <w:bottom w:val="single" w:color="1B3A6B" w:sz="6" w:space="1"/>
        </w:pBdr>
        <w:spacing w:after="0" w:before="0"/>
      </w:pPr>
    </w:p>
    <w:p>
      <w:pPr>
        <w:spacing w:after="80" w:before="0"/>
      </w:pPr>
    </w:p>
    <w:p>
      <w:pPr>
        <w:spacing w:after="120" w:before="60"/>
      </w:pPr>
      <w:r>
        <w:rPr>
          <w:rFonts w:ascii="Arial" w:cs="Arial" w:eastAsia="Arial" w:hAnsi="Arial"/>
          <w:sz w:val="20"/>
          <w:szCs w:val="20"/>
        </w:rPr>
        <w:t xml:space="preserve">Sri Lanka DoM already issues probabilistic temperature forecasts and already receives ECMWF ensemble data. The capability to work in probability space exists. What this system provides is the framework that connects ensemble output to actionable warning decisions — transforming 51 ENS member realisations of Heat Index into calibrated category probabilities, applying Bayesian decision theory to derive the optimal official warning level, and simultaneously computing sector-specific activation thresholds from cost/loss analysis.</w:t>
      </w:r>
    </w:p>
    <w:p>
      <w:pPr>
        <w:spacing w:after="120" w:before="60"/>
      </w:pPr>
      <w:r>
        <w:rPr>
          <w:rFonts w:ascii="Arial" w:cs="Arial" w:eastAsia="Arial" w:hAnsi="Arial"/>
          <w:sz w:val="20"/>
          <w:szCs w:val="20"/>
        </w:rPr>
        <w:t xml:space="preserve">The ECMWF Ensemble Prediction System provides 51 realisations of the atmospheric state for each forecast cycle. Computing Heat Index for each member, counting exceedances across the four DoM severity categories, calibrating those frequencies against the local climatological record, and passing the resulting probability vector through the Bayes decision rule is operationally straightforward. The seasonal probabilistic outlooks DoM already produces provide the prior that anchors calibration at season onset. Every component is within DoM’s existing data and institutional environment.</w:t>
      </w:r>
    </w:p>
    <w:p>
      <w:pPr>
        <w:spacing w:after="120" w:before="60"/>
      </w:pPr>
      <w:r>
        <w:rPr>
          <w:rFonts w:ascii="Arial" w:cs="Arial" w:eastAsia="Arial" w:hAnsi="Arial"/>
          <w:sz w:val="20"/>
          <w:szCs w:val="20"/>
        </w:rPr>
        <w:t>The three-tier architecture — an official public warning (Tier 1) derived from calibrated ensemble probabilities; a Balanced sectoral Impact Advisory (Tier 2) calibrated to the collective vulnerability of heat-sensitive sectors; and sector-specific Decision Advisories (Tier 3) derived from each sector’s own cost/loss profile — ensures that each institution acts at the probability that is right for its own situation. Health services activate early, when ensemble uncertainty is still high but the potential cost of inaction is catastrophic. Agricultural managers act when the probability is sufficient to justify upfront irrigation costs. Both decisions are transparent, traceable, and verifiable.</w:t>
      </w:r>
    </w:p>
    <w:p>
      <w:pPr>
        <w:spacing w:after="80" w:before="0"/>
      </w:pPr>
    </w:p>
    <w:tbl>
      <w:tblPr>
        <w:tblW w:type="dxa" w:w="9360"/>
        <w:tblBorders>
          <w:top w:val="single" w:color="FFFFFF" w:sz="0"/>
          <w:left w:val="single" w:color="FFFFFF" w:sz="0"/>
          <w:bottom w:val="single" w:color="FFFFFF" w:sz="0"/>
          <w:right w:val="single" w:color="FFFFFF" w:sz="0"/>
          <w:insideH w:val="single" w:color="auto" w:sz="4"/>
          <w:insideV w:val="single" w:color="auto" w:sz="4"/>
        </w:tblBorders>
      </w:tblPr>
      <w:tblGrid>
        <w:gridCol w:w="200"/>
        <w:gridCol w:w="9160"/>
      </w:tblGrid>
      <w:tr>
        <w:tc>
          <w:tcPr>
            <w:tcW w:type="dxa" w:w="200"/>
            <w:tcBorders>
              <w:top w:val="single" w:color="FFFFFF" w:sz="0"/>
              <w:left w:val="single" w:color="FFFFFF" w:sz="0"/>
              <w:bottom w:val="single" w:color="FFFFFF" w:sz="0"/>
              <w:right w:val="single" w:color="FFFFFF" w:sz="0"/>
            </w:tcBorders>
            <w:shd w:fill="006D77" w:val="clear"/>
          </w:tcPr>
          <w:p/>
        </w:tc>
        <w:tc>
          <w:tcPr>
            <w:tcW w:type="dxa" w:w="9160"/>
            <w:tcBorders>
              <w:top w:val="single" w:color="FFFFFF" w:sz="0"/>
              <w:left w:val="single" w:color="FFFFFF" w:sz="0"/>
              <w:bottom w:val="single" w:color="FFFFFF" w:sz="0"/>
              <w:right w:val="single" w:color="FFFFFF" w:sz="0"/>
            </w:tcBorders>
            <w:shd w:fill="E0F7FA" w:val="clear"/>
            <w:tcMar>
              <w:top w:type="dxa" w:w="120"/>
              <w:left w:type="dxa" w:w="200"/>
              <w:bottom w:type="dxa" w:w="120"/>
              <w:right w:type="dxa" w:w="120"/>
            </w:tcMar>
          </w:tcPr>
          <w:p>
            <w:pPr>
              <w:spacing w:after="60" w:before="0"/>
            </w:pPr>
            <w:r>
              <w:rPr>
                <w:rFonts w:ascii="Arial" w:cs="Arial" w:eastAsia="Arial" w:hAnsi="Arial"/>
                <w:i/>
                <w:iCs/>
                <w:sz w:val="20"/>
                <w:szCs w:val="20"/>
              </w:rPr>
              <w:t xml:space="preserve">The contribution of this project is to make the probabilistic information that DoM already receives from ECMWF actionable — converting ensemble member counts into calibrated probabilities, probabilities into three tiers of warning — official meteorological, balanced sectoral, and sector-specific — and now also into individual-level protective-action triggers. All seven tools are immediately deployable. The critical next step is fitting the CAL model to the Colombo station and ENS reforecast archive, which transforms the prototype into an operationally calibrated system.</w:t>
            </w:r>
          </w:p>
        </w:tc>
      </w:tr>
    </w:tbl>
    <w:p>
      <w:pPr>
        <w:spacing w:after="120" w:before="0"/>
      </w:pPr>
    </w:p>
    <w:p>
      <w:pPr>
        <w:pStyle w:val="Heading1"/>
        <w:spacing w:after="120" w:before="360"/>
      </w:pPr>
      <w:r>
        <w:rPr>
          <w:rFonts w:ascii="Arial" w:cs="Arial" w:eastAsia="Arial" w:hAnsi="Arial"/>
          <w:b/>
          <w:bCs/>
          <w:color w:val="1B3A6B"/>
          <w:sz w:val="32"/>
          <w:szCs w:val="32"/>
        </w:rPr>
        <w:t xml:space="preserve">References</w:t>
      </w:r>
    </w:p>
    <w:p>
      <w:pPr>
        <w:pBdr>
          <w:bottom w:val="single" w:color="1B3A6B" w:sz="6" w:space="1"/>
        </w:pBdr>
        <w:spacing w:after="0" w:before="0"/>
      </w:pPr>
    </w:p>
    <w:p>
      <w:pPr>
        <w:spacing w:after="80" w:before="0"/>
      </w:pPr>
    </w:p>
    <w:p>
      <w:pPr>
        <w:spacing w:after="80" w:before="40"/>
      </w:pPr>
      <w:r>
        <w:rPr>
          <w:rFonts w:ascii="Arial" w:cs="Arial" w:eastAsia="Arial" w:hAnsi="Arial"/>
          <w:sz w:val="20"/>
          <w:szCs w:val="20"/>
        </w:rPr>
        <w:t xml:space="preserve">Economou, T., Stephenson, D.B., Ferro, C.A.T., Stainforth, D.A., and Sherwood, S. (2016). On the use of Bayesian decision theory for issuing natural hazard warnings. Proceedings of the Royal Society A, 472(2194), 20160295.</w:t>
      </w:r>
    </w:p>
    <w:p>
      <w:pPr>
        <w:spacing w:after="80" w:before="40"/>
      </w:pPr>
      <w:r>
        <w:rPr>
          <w:rFonts w:ascii="Arial" w:cs="Arial" w:eastAsia="Arial" w:hAnsi="Arial"/>
          <w:sz w:val="20"/>
          <w:szCs w:val="20"/>
        </w:rPr>
        <w:t xml:space="preserve">ECMWF (2023). The ECMWF Ensemble Prediction System. ECMWF Technical Memoranda. Reading: European Centre for Medium-Range Weather Forecasts.</w:t>
      </w:r>
    </w:p>
    <w:p>
      <w:pPr>
        <w:spacing w:after="80" w:before="40"/>
      </w:pPr>
      <w:r>
        <w:rPr>
          <w:rFonts w:ascii="Arial" w:cs="Arial" w:eastAsia="Arial" w:hAnsi="Arial"/>
          <w:sz w:val="20"/>
          <w:szCs w:val="20"/>
        </w:rPr>
        <w:t xml:space="preserve">Rogers, D.P. (2026). Prescriptive models for National Meteorological and Hydrological Services. Working Paper v18, World Meteorological Organization.</w:t>
      </w:r>
    </w:p>
    <w:p>
      <w:pPr>
        <w:spacing w:after="80" w:before="40"/>
      </w:pPr>
      <w:r>
        <w:rPr>
          <w:rFonts w:ascii="Arial" w:cs="Arial" w:eastAsia="Arial" w:hAnsi="Arial"/>
          <w:sz w:val="20"/>
          <w:szCs w:val="20"/>
        </w:rPr>
        <w:t xml:space="preserve">Sri Lanka Department of Meteorology (2018). Heat Index Classification and Warning Thresholds. Colombo: DoM.</w:t>
      </w:r>
    </w:p>
    <w:p>
      <w:pPr>
        <w:spacing w:after="80" w:before="40"/>
      </w:pPr>
      <w:r>
        <w:rPr>
          <w:rFonts w:ascii="Arial" w:cs="Arial" w:eastAsia="Arial" w:hAnsi="Arial"/>
          <w:sz w:val="20"/>
          <w:szCs w:val="20"/>
        </w:rPr>
        <w:t xml:space="preserve">Sri Lanka DoM / DMC (2025). Forensic Analysis of Tropical Cyclone Ditwah: Weather Intelligence Decision Support Platform. Gampola–Peradeniya Catchment Case Study.</w:t>
      </w:r>
    </w:p>
    <w:p>
      <w:pPr>
        <w:spacing w:after="80" w:before="40"/>
      </w:pPr>
      <w:r>
        <w:rPr>
          <w:rFonts w:ascii="Arial" w:cs="Arial" w:eastAsia="Arial" w:hAnsi="Arial"/>
          <w:sz w:val="20"/>
          <w:szCs w:val="20"/>
        </w:rPr>
        <w:t xml:space="preserve">UNDRR (2024). Global Assessment Report on Disaster Risk Reduction (GAR 2024): FORIN Forensic Investigation Methodology. Geneva: UNDRR.</w:t>
      </w:r>
    </w:p>
    <w:p>
      <w:pPr>
        <w:spacing w:after="80" w:before="0"/>
      </w:pPr>
    </w:p>
    <w:p>
      <w:pPr>
        <w:pBdr>
          <w:bottom w:val="single" w:color="CCCCCC" w:sz="6" w:space="1"/>
        </w:pBdr>
        <w:spacing w:after="0" w:before="0"/>
      </w:pPr>
    </w:p>
    <w:p>
      <w:pPr>
        <w:spacing w:after="80" w:before="0"/>
      </w:pPr>
    </w:p>
    <w:p>
      <w:pPr>
        <w:spacing w:after="0" w:before="0"/>
        <w:jc w:val="center"/>
      </w:pPr>
      <w:r>
        <w:rPr>
          <w:rFonts w:ascii="Arial" w:cs="Arial" w:eastAsia="Arial" w:hAnsi="Arial"/>
          <w:i/>
          <w:iCs/>
          <w:color w:val="888888"/>
          <w:sz w:val="16"/>
          <w:szCs w:val="16"/>
        </w:rPr>
        <w:t xml:space="preserve">Prepared for IBF Programme • Sri Lanka Department of Meteorology • April 2026</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D77" w:sz="4" w:space="1"/>
      </w:pBdr>
      <w:spacing w:after="0" w:before="80"/>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D77" w:sz="4" w:space="1"/>
      </w:pBdr>
      <w:spacing w:after="80" w:before="0"/>
      <w:jc w:val="right"/>
    </w:pPr>
    <w:r>
      <w:rPr>
        <w:rFonts w:ascii="Arial" w:cs="Arial" w:eastAsia="Arial" w:hAnsi="Arial"/>
        <w:color w:val="888888"/>
        <w:sz w:val="16"/>
        <w:szCs w:val="16"/>
      </w:rPr>
      <w:t xml:space="preserve">Bayesian Heat Early Warning System — Sri Lanka DoM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80" w:before="240"/>
      <w:outlineLvl w:val="1"/>
    </w:pPr>
    <w:rPr>
      <w:rFonts w:ascii="Arial" w:cs="Arial" w:eastAsia="Arial" w:hAnsi="Arial"/>
      <w:b/>
      <w:bCs/>
      <w:color w:val="006D77"/>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24242"/>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2026-04-07T06:51:39.820Z</dcterms:created>
  <dcterms:modified xsi:type="dcterms:W3CDTF">2026-04-07T06:51:39.820Z</dcterms:modified>
</cp:coreProperties>
</file>

<file path=docProps/custom.xml><?xml version="1.0" encoding="utf-8"?>
<Properties xmlns="http://schemas.openxmlformats.org/officeDocument/2006/custom-properties" xmlns:vt="http://schemas.openxmlformats.org/officeDocument/2006/docPropsVTypes"/>
</file>