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565C0"/>
          <w:sz w:val="52"/>
          <w:szCs w:val="52"/>
        </w:rPr>
        <w:t xml:space="preserve">PHR Loss Function Sensitivity Analysis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37474F"/>
          <w:sz w:val="24"/>
          <w:szCs w:val="24"/>
        </w:rPr>
        <w:t xml:space="preserve">Worked Example: 45-year-old, moderate flexibility, minimal outdoor exposure</w:t>
      </w:r>
    </w:p>
    <w:p>
      <w:pPr>
        <w:spacing w:after="240" w:before="0"/>
      </w:pPr>
      <w:r>
        <w:rPr>
          <w:rFonts w:ascii="Arial" w:cs="Arial" w:eastAsia="Arial" w:hAnsi="Arial"/>
          <w:color w:val="90A4AE"/>
          <w:sz w:val="18"/>
          <w:szCs w:val="18"/>
        </w:rPr>
        <w:t xml:space="preserve">Sri Lanka Heat Impact-Based Forecasting EWS  ·  Rogers (2026)</w:t>
      </w:r>
    </w:p>
    <w:p>
      <w:pPr>
        <w:pBdr>
          <w:bottom w:val="single" w:color="1565C0" w:sz="4" w:space="1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1.  Background</w:t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The Personal Heat Risk (PHR) module derives a Bayesian decision threshold </w:t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p*</w:t>
      </w: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 from a short questionnaire. This note traces, for a concrete baseline profile and a fixed forecast, how </w:t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p*</w:t>
      </w: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 — and the resulting optimal alert level — respond to changes in individual questionnaire answers.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Decision threshold:   </w:t>
            </w: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p* = (c · γc) / (l · γl)</w:t>
            </w:r>
            <w:r>
              <w:br/>
            </w:r>
            <w:r>
              <w:br/>
            </w:r>
            <w:r>
              <w:rPr>
                <w:rFonts w:ascii="Arial" w:cs="Arial" w:eastAsia="Arial" w:hAnsi="Arial"/>
                <w:i/>
                <w:iCs/>
                <w:color w:val="212121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 = max cost of protective action   </w:t>
            </w:r>
            <w:r>
              <w:rPr>
                <w:rFonts w:ascii="Arial" w:cs="Arial" w:eastAsia="Arial" w:hAnsi="Arial"/>
                <w:i/>
                <w:iCs/>
                <w:color w:val="212121"/>
                <w:sz w:val="18"/>
                <w:szCs w:val="18"/>
              </w:rPr>
              <w:t xml:space="preserve">γc</w:t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 = action-cost curvature   </w:t>
            </w:r>
            <w:r>
              <w:rPr>
                <w:rFonts w:ascii="Arial" w:cs="Arial" w:eastAsia="Arial" w:hAnsi="Arial"/>
                <w:i/>
                <w:iCs/>
                <w:color w:val="212121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 = max potential health loss   </w:t>
            </w:r>
            <w:r>
              <w:rPr>
                <w:rFonts w:ascii="Arial" w:cs="Arial" w:eastAsia="Arial" w:hAnsi="Arial"/>
                <w:i/>
                <w:iCs/>
                <w:color w:val="212121"/>
                <w:sz w:val="18"/>
                <w:szCs w:val="18"/>
              </w:rPr>
              <w:t xml:space="preserve">γl</w:t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 = loss-reduction curvature</w:t>
            </w:r>
          </w:p>
        </w:tc>
      </w:tr>
    </w:tbl>
    <w:p>
      <w:pPr>
        <w:spacing w:after="80" w:before="120"/>
      </w:pP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The decision rule is: take protective action at level </w:t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k</w:t>
      </w: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 if </w:t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P(X ≥ k) ≥ p*</w:t>
      </w: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. A lower </w:t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p*</w:t>
      </w: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 means the individual acts earlier; a higher </w:t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p*</w:t>
      </w: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 means they wait for stronger evidence of heat.</w:t>
      </w:r>
    </w:p>
    <w:p>
      <w:pPr>
        <w:pStyle w:val="Heading1"/>
      </w:pPr>
      <w:r>
        <w:rPr>
          <w:rFonts w:ascii="Arial" w:cs="Arial" w:eastAsia="Arial" w:hAnsi="Arial"/>
        </w:rPr>
        <w:t xml:space="preserve">2.  Forecast (held fixed throughout)</w:t>
      </w:r>
    </w:p>
    <w:p>
      <w:pPr>
        <w:spacing w:after="12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following ensemble probability distribution is assumed for all calculations in this note.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100"/>
        <w:gridCol w:w="23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Heat category</w:t>
            </w:r>
          </w:p>
        </w:tc>
        <w:tc>
          <w:tcPr>
            <w:tcW w:type="dxa" w:w="21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P(X = k)</w:t>
            </w:r>
          </w:p>
        </w:tc>
        <w:tc>
          <w:tcPr>
            <w:tcW w:type="dxa" w:w="21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P(X ≥ k)</w:t>
            </w:r>
          </w:p>
        </w:tc>
        <w:tc>
          <w:tcPr>
            <w:tcW w:type="dxa" w:w="236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trigger if p* &lt; 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Normal</w:t>
            </w:r>
            <w:r>
              <w:rPr>
                <w:rFonts w:ascii="Arial" w:cs="Arial" w:eastAsia="Arial" w:hAnsi="Arial"/>
                <w:i w:val="false"/>
                <w:iCs w:val="false"/>
                <w:color w:val="212121"/>
                <w:sz w:val="20"/>
                <w:szCs w:val="20"/>
              </w:rPr>
              <w:t xml:space="preserve">  (No warning)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0.20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Caution</w:t>
            </w:r>
            <w:r>
              <w:rPr>
                <w:rFonts w:ascii="Arial" w:cs="Arial" w:eastAsia="Arial" w:hAnsi="Arial"/>
                <w:i w:val="false"/>
                <w:iCs w:val="false"/>
                <w:color w:val="212121"/>
                <w:sz w:val="20"/>
                <w:szCs w:val="20"/>
              </w:rPr>
              <w:t xml:space="preserve">  (Yellow — Heat Watch)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0.40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0.80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p* &lt; 0.80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Extreme</w:t>
            </w:r>
            <w:r>
              <w:rPr>
                <w:rFonts w:ascii="Arial" w:cs="Arial" w:eastAsia="Arial" w:hAnsi="Arial"/>
                <w:i w:val="false"/>
                <w:iCs w:val="false"/>
                <w:color w:val="212121"/>
                <w:sz w:val="20"/>
                <w:szCs w:val="20"/>
              </w:rPr>
              <w:t xml:space="preserve">  (Amber — Heat Alert)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0.40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p* &lt; 0.40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Danger</w:t>
            </w:r>
            <w:r>
              <w:rPr>
                <w:rFonts w:ascii="Arial" w:cs="Arial" w:eastAsia="Arial" w:hAnsi="Arial"/>
                <w:i w:val="false"/>
                <w:iCs w:val="false"/>
                <w:color w:val="212121"/>
                <w:sz w:val="20"/>
                <w:szCs w:val="20"/>
              </w:rPr>
              <w:t xml:space="preserve">  (Red — Heat Warning)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p* &lt; 0.10</w:t>
            </w:r>
          </w:p>
        </w:tc>
      </w:tr>
    </w:tbl>
    <w:p>
      <w:pPr>
        <w:spacing w:after="16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3.  Baseline profile and computation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76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45–64  (a45)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Pregnancy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Medical conditions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Outdoor hours (11am–3pm)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None  →  vi +0,  c +0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Daytime environment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Air-conditioned  →  vi +0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Night environment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Cool  →  vi +0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Help available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  →  vi +0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Flexibility to adapt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Moderate  →  c +22,  γc = 1.50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Access to cooling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  →  c +3</w:t>
            </w:r>
          </w:p>
        </w:tc>
      </w:tr>
    </w:tbl>
    <w:p>
      <w:pPr>
        <w:spacing w:after="8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Parameter derivation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16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22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Age (a45) only: +22. No conditions, no meds, no exposure.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Risk 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MODERATE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 = 22 ≥ 22 threshold → MODERATE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γl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1.20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MODERATE → γl = 1.20  (LOW 1.00 / MOD 1.20 / HIGH 1.45 / V.HIGH 1.70) — amplifier: higher vulnerability inflates expected loss and lowers p*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75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min(220, 50 + 22 × 1.15) = min(220, 75.3) ≈ 75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25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Flex (mod) +22  +  Cool (yes) +3  +  Outdoor (none) +0 = 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γc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1.50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Flex (mod) → γc = 1.50  (easy 1.20 / mod 1.50 / hard 1.85 / no 2.20)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0.417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(25 × 1.50) / (75 × 1.20) = 37.5 / 90.0 = 0.417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5800" w:sz="1"/>
              <w:left w:val="single" w:color="7B5800" w:sz="1"/>
              <w:bottom w:val="single" w:color="7B5800" w:sz="1"/>
              <w:right w:val="single" w:color="7B5800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212121"/>
                <w:sz w:val="20"/>
                <w:szCs w:val="20"/>
              </w:rPr>
              <w:t xml:space="preserve">Baseline decision: </w:t>
            </w:r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YELLOW — Heat Watch</w:t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    (P(X ≥ 1) = 0.80 &gt; p* = 0.417; Amber threshold 0.40 not yet reached)</w:t>
            </w:r>
            <w:r>
              <w:br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Baseline p* = 0.417 sits only 4.2% above the Amber threshold. A single additional risk factor (any condition, higher age, hot nights, no help) is sufficient to flip this user to Amber.</w:t>
            </w:r>
          </w:p>
        </w:tc>
      </w:tr>
    </w:tbl>
    <w:p>
      <w:pPr>
        <w:spacing w:after="16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4.  Single-question sensitivity</w:t>
      </w:r>
    </w:p>
    <w:p>
      <w:pPr>
        <w:spacing w:after="12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Each row changes one questionnaire answer from the baseline while holding all others fixed.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60"/>
        <w:gridCol w:w="1300"/>
        <w:gridCol w:w="1300"/>
        <w:gridCol w:w="1300"/>
        <w:gridCol w:w="170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changed</w:t>
            </w:r>
          </w:p>
        </w:tc>
        <w:tc>
          <w:tcPr>
            <w:tcW w:type="dxa" w:w="166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answer</w:t>
            </w:r>
          </w:p>
        </w:tc>
        <w:tc>
          <w:tcPr>
            <w:tcW w:type="dxa" w:w="13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 · γc</w:t>
            </w:r>
          </w:p>
        </w:tc>
        <w:tc>
          <w:tcPr>
            <w:tcW w:type="dxa" w:w="13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 · γl</w:t>
            </w:r>
          </w:p>
        </w:tc>
        <w:tc>
          <w:tcPr>
            <w:tcW w:type="dxa" w:w="13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p*</w:t>
            </w:r>
          </w:p>
        </w:tc>
        <w:tc>
          <w:tcPr>
            <w:tcW w:type="dxa" w:w="17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Baseline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37.5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90.0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0.417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🟡 Yellow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Flexibility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Easy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13.2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90.0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0.147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Amber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Flexibility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83.3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90.0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0.925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🟢 Green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Flexibility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156.2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90.0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1.736‡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🟢 Green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Cool access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Maybe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51.0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90.0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12121"/>
                <w:sz w:val="20"/>
                <w:szCs w:val="20"/>
              </w:rPr>
              <w:t xml:space="preserve">0.567  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(+0.150)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🟡 Yellow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Cool access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66.0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90.0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12121"/>
                <w:sz w:val="20"/>
                <w:szCs w:val="20"/>
              </w:rPr>
              <w:t xml:space="preserve">0.733  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(+0.316)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🟡 Yellow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Age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65–74  (+16 vi)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37.5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112.8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0.332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  (−0.085)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Amber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75+  (+33 vi → HIGH)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37.5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163.8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0.229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  (−0.188)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Amber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Add condition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CVD  (+18 vi)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37.5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115.2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0.326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  (−0.091)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Amber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Add conditions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CVD + DM  (+33 vi → HIGH)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37.5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163.8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0.229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  (−0.188)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Amber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Night environment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Hot  (+15 vi)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37.5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111.6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0.336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  (−0.081)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Amber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Help available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 (+14 vi)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37.5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109.2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0.343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  (−0.074)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Amber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Outdoor exposure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  (dual effect)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61.5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124.8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12121"/>
                <w:sz w:val="20"/>
                <w:szCs w:val="20"/>
              </w:rPr>
              <w:t xml:space="preserve">0.493  </w:t>
            </w: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8"/>
                <w:szCs w:val="18"/>
              </w:rPr>
              <w:t xml:space="preserve">(+0.076)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🟡 Yellow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‡ p* &gt; 1.0 means the action threshold can never be met at any forecast probability — effectively the model never recommends protective action for users with no flexibility to adapt.</w:t>
      </w:r>
    </w:p>
    <w:p>
      <w:pPr>
        <w:spacing w:after="16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5.  Key findings</w:t>
      </w:r>
    </w:p>
    <w:p>
      <w:pPr>
        <w:pStyle w:val="Heading2"/>
      </w:pPr>
      <w:r>
        <w:rPr>
          <w:rFonts w:ascii="Arial" w:cs="Arial" w:eastAsia="Arial" w:hAnsi="Arial"/>
        </w:rPr>
        <w:t xml:space="preserve">Finding 1 — Every single vulnerability change now flips to Amber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With </w:t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γl</w:t>
      </w: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 recalibrated as an amplifier (LOW 1.00 → VERY HIGH 1.70), the baseline p* falls from a previous 0.769 to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0.417</w:t>
      </w: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 — only 4.2% above the Amber threshold of 0.40. As a result,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every single vulnerability-side change</w:t>
      </w: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 tested (age 65–74, age 75+, CVD alone, CVD+DM, hot nights, no help) now crosses the Amber threshold. This represents a fundamentally more appropriate sensitivity: a 45-year-old with a single condition such as cardiovascular disease is correctly identified as requiring Amber-level precaution during elevated heat.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Flexibility remains the most impactful single question — switching to </w:t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"easy"</w:t>
      </w: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 drops p* all the way to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0.147</w:t>
      </w: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, deep into Amber and approaching Red. But it is no longer the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only</w:t>
      </w: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 question that matters. Vulnerability and capacity now contribute comparably to the decision outcome.</w:t>
      </w:r>
    </w:p>
    <w:p>
      <w:pPr>
        <w:pStyle w:val="Heading2"/>
      </w:pPr>
      <w:r>
        <w:rPr>
          <w:rFonts w:ascii="Arial" w:cs="Arial" w:eastAsia="Arial" w:hAnsi="Arial"/>
        </w:rPr>
        <w:t xml:space="preserve">Finding 2 — Outdoor exposure still moves p* in the counterintuitive direction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Outdoor exposure is the only question that affects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both</w:t>
      </w: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 sides of p* simultaneously: it adds to </w:t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vi</w:t>
      </w: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 (raising </w:t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l · γl</w:t>
      </w: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, which reduces p*) and also adds directly to </w:t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c</w:t>
      </w: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 (which increases p*). With the amplified γl the loss side is now meaningfully larger (l·γl: 90→124.8), but the cost side still dominates for this profile — high outdoor exposure yields p* =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0.493</w:t>
      </w: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, remaining Yellow rather than flipping to Amber. The crossover point at which the vulnerability channel wins depends on the user's existing vi load; a user already carrying substantial conditions would tip into Amber.</w:t>
      </w:r>
    </w:p>
    <w:p>
      <w:pPr>
        <w:pStyle w:val="Heading2"/>
      </w:pPr>
      <w:r>
        <w:rPr>
          <w:rFonts w:ascii="Arial" w:cs="Arial" w:eastAsia="Arial" w:hAnsi="Arial"/>
        </w:rPr>
        <w:t xml:space="preserve">Finding 3 — γl recalibration eliminates the non-monotonicity</w:t>
      </w:r>
    </w:p>
    <w:p>
      <w:pPr>
        <w:spacing w:after="80" w:before="0"/>
      </w:pP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Under the original discount-factor design (LOW 0.80 → VERY HIGH 0.40), crossing a risk-category boundary dropped </w:t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γl</w:t>
      </w: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 faster than </w:t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l</w:t>
      </w: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 rose, causing </w:t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l · γl</w:t>
      </w: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 to fall at each boundary. The perverse result: adding CVD alone (vi: 22→40, MODERATE) gave p* = 0.601, while adding CVD+DM (vi: 22→55, crossing into HIGH) gave p* = 0.662 —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higher</w:t>
      </w: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, despite greater vulnerability.</w:t>
      </w:r>
    </w:p>
    <w:p>
      <w:pPr>
        <w:spacing w:after="40" w:before="0"/>
      </w:pP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With the amplifier design, </w:t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l · γl</w:t>
      </w: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 is strictly monotone at every boundary: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vi = 49.9 (MODERATE):  l·γl = 107.4 × 1.20 = 128.9</w:t>
      </w:r>
      <w:r>
        <w:br/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vi = 50.1 (HIGH):      l·γl = 107.6 × 1.45 = 156.0  ✓</w:t>
      </w:r>
    </w:p>
    <w:p>
      <w:pPr>
        <w:spacing w:after="80" w:before="0"/>
      </w:pP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For the CVD→CVD+DM comparison, p* now falls monotonically: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0.326 → 0.229</w:t>
      </w: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 — correctly lower for the more vulnerable profile. Full monotonicity is maintained at all three category boundaries.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γl amplifier values (calibrated for monotonicity):  </w:t>
            </w: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LOW 1.00  /  MODERATE 1.20  /  HIGH 1.45  /  VERY HIGH 1.70</w:t>
            </w:r>
            <w:r>
              <w:br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Values chosen so that l·γl is strictly increasing across the LOW→MOD, MOD→HIGH, and HIGH→VERY HIGH boundaries at the exact threshold vi values (22, 50, 100). No smoothing required.</w:t>
            </w:r>
          </w:p>
        </w:tc>
      </w:tr>
    </w:tbl>
    <w:p>
      <w:pPr>
        <w:spacing w:after="160"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6.  What triggers Amber for this user?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Baseline p* = 0.417 sits only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4.2% above the Amber threshold</w:t>
      </w: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 of 0.40. Any single risk factor that increases </w:t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l · γl</w:t>
      </w: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 by more than ~4% is sufficient. The table below summarises key routes: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2000"/>
        <w:gridCol w:w="160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56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0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Resulting p*</w:t>
            </w:r>
          </w:p>
        </w:tc>
        <w:tc>
          <w:tcPr>
            <w:tcW w:type="dxa" w:w="16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Flips to Amber?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CVD alone</w:t>
            </w:r>
            <w:r>
              <w:rPr>
                <w:rFonts w:ascii="Arial" w:cs="Arial" w:eastAsia="Arial" w:hAnsi="Arial"/>
                <w:i w:val="false"/>
                <w:iCs w:val="false"/>
                <w:color w:val="212121"/>
                <w:sz w:val="20"/>
                <w:szCs w:val="20"/>
              </w:rPr>
              <w:t xml:space="preserve"> (vulnerability side)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l·γl: 90.0 → 115.2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0.326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✔ 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Max vulnerability</w:t>
            </w:r>
            <w:r>
              <w:rPr>
                <w:rFonts w:ascii="Arial" w:cs="Arial" w:eastAsia="Arial" w:hAnsi="Arial"/>
                <w:i w:val="false"/>
                <w:iCs w:val="false"/>
                <w:color w:val="212121"/>
                <w:sz w:val="20"/>
                <w:szCs w:val="20"/>
              </w:rPr>
              <w:t xml:space="preserve"> alone (VERY HIGH, l=220)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l·γl: 90.0 → 374.0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0.100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✔ 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Flex: easy</w:t>
            </w:r>
            <w:r>
              <w:rPr>
                <w:rFonts w:ascii="Arial" w:cs="Arial" w:eastAsia="Arial" w:hAnsi="Arial"/>
                <w:i w:val="false"/>
                <w:iCs w:val="false"/>
                <w:color w:val="212121"/>
                <w:sz w:val="20"/>
                <w:szCs w:val="20"/>
              </w:rPr>
              <w:t xml:space="preserve"> (cost side alone)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c·γc: 37.5 → 13.2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0.147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✔ 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Flex: hard</w:t>
            </w:r>
            <w:r>
              <w:rPr>
                <w:rFonts w:ascii="Arial" w:cs="Arial" w:eastAsia="Arial" w:hAnsi="Arial"/>
                <w:i w:val="false"/>
                <w:iCs w:val="false"/>
                <w:color w:val="212121"/>
                <w:sz w:val="20"/>
                <w:szCs w:val="20"/>
              </w:rPr>
              <w:t xml:space="preserve"> (cost side pushes away)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c·γc: 37.5 → 83.3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0.925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✗ No</w:t>
            </w:r>
          </w:p>
        </w:tc>
      </w:tr>
    </w:tbl>
    <w:p>
      <w:pPr>
        <w:spacing w:after="80" w:before="120"/>
      </w:pPr>
    </w:p>
    <w:p>
      <w:pPr>
        <w:spacing w:after="80" w:before="0"/>
      </w:pP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Under the recalibrated model,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vulnerability changes alone are sufficient to reach Amber</w:t>
      </w:r>
      <w:r>
        <w:rPr>
          <w:rFonts w:ascii="Arial" w:cs="Arial" w:eastAsia="Arial" w:hAnsi="Arial"/>
          <w:i w:val="false"/>
          <w:iCs w:val="false"/>
          <w:color w:val="212121"/>
          <w:sz w:val="20"/>
          <w:szCs w:val="20"/>
        </w:rPr>
        <w:t xml:space="preserve"> — a meaningful shift from the original formulation. A single common condition such as CVD (p* = 0.326) or being aged 65–74 (p* = 0.332) independently crosses the threshold for this forecast. The cost side still provides the largest single-variable movement (flexibility: easy → p* = 0.147), and hard flexibility insulates against Amber regardless of vulnerability load. This asymmetry is operationally appropriate: users who genuinely cannot adapt require institutional intervention rather than individual action guidance — a limitation the model should make explicit.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4"/>
      </w:pBdr>
      <w:spacing w:after="0" w:before="120"/>
      <w:jc w:val="right"/>
    </w:pPr>
    <w:r>
      <w:rPr>
        <w:rFonts w:ascii="Arial" w:cs="Arial" w:eastAsia="Arial" w:hAnsi="Arial"/>
        <w:i w:val="false"/>
        <w:iCs w:val="false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i w:val="false"/>
        <w:iCs w:val="false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4"/>
      </w:pBdr>
      <w:spacing w:after="120" w:before="0"/>
    </w:pPr>
    <w:r>
      <w:rPr>
        <w:rFonts w:ascii="Arial" w:cs="Arial" w:eastAsia="Arial" w:hAnsi="Arial"/>
        <w:b/>
        <w:bCs/>
        <w:color w:val="1565C0"/>
        <w:sz w:val="18"/>
        <w:szCs w:val="18"/>
      </w:rPr>
      <w:t xml:space="preserve">Sri Lanka Heat EWS — PHR Loss Function Sensitivity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747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565C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2026-04-10T17:27:16.309Z</dcterms:created>
  <dcterms:modified xsi:type="dcterms:W3CDTF">2026-04-10T17:27:16.309Z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