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3864"/>
          <w:sz w:val="44"/>
          <w:szCs w:val="44"/>
        </w:rPr>
        <w:t xml:space="preserve">AI-Native Logistics &amp; Air Freight</w:t>
      </w:r>
    </w:p>
    <w:p>
      <w:pPr>
        <w:spacing w:after="300"/>
        <w:jc w:val="center"/>
      </w:pPr>
      <w:r>
        <w:rPr>
          <w:b/>
          <w:bCs/>
          <w:color w:val="1F3864"/>
          <w:sz w:val="44"/>
          <w:szCs w:val="44"/>
        </w:rPr>
        <w:t xml:space="preserve">Management System</w:t>
      </w:r>
    </w:p>
    <w:p>
      <w:pPr>
        <w:spacing w:after="500"/>
        <w:jc w:val="center"/>
      </w:pPr>
      <w:r>
        <w:rPr>
          <w:i/>
          <w:iCs/>
          <w:color w:val="2E5C8A"/>
          <w:sz w:val="26"/>
          <w:szCs w:val="26"/>
        </w:rPr>
        <w:t xml:space="preserve">End-to-End Technical Specification &amp; Architectural Breakdown</w:t>
      </w:r>
    </w:p>
    <w:p>
      <w:pPr>
        <w:spacing w:after="100"/>
        <w:jc w:val="center"/>
      </w:pPr>
      <w:r>
        <w:rPr>
          <w:color w:val="595959"/>
          <w:sz w:val="20"/>
          <w:szCs w:val="20"/>
        </w:rPr>
        <w:t xml:space="preserve">CRM Lead Lifecycle · Air Freight Data Schema · AI-Assisted UI/UX · Cargo-IMP/XML Integration</w:t>
      </w:r>
    </w:p>
    <w:p>
      <w:pPr>
        <w:spacing w:after="40" w:before="800"/>
        <w:jc w:val="center"/>
      </w:pPr>
      <w:r>
        <w:rPr>
          <w:b/>
          <w:bCs/>
          <w:sz w:val="20"/>
          <w:szCs w:val="20"/>
        </w:rPr>
        <w:t xml:space="preserve">Version 1.0</w:t>
      </w:r>
    </w:p>
    <w:p>
      <w:pPr>
        <w:spacing w:after="40"/>
        <w:jc w:val="center"/>
      </w:pPr>
      <w:r>
        <w:rPr>
          <w:color w:val="595959"/>
          <w:sz w:val="18"/>
          <w:szCs w:val="18"/>
        </w:rPr>
        <w:t xml:space="preserve">Prepared as an implementation-ready specification for engineering handoff</w:t>
      </w:r>
    </w:p>
    <w:p>
      <w:pPr>
        <w:spacing w:after="40"/>
        <w:jc w:val="center"/>
      </w:pPr>
      <w:r>
        <w:rPr>
          <w:color w:val="595959"/>
          <w:sz w:val="18"/>
          <w:szCs w:val="18"/>
        </w:rPr>
        <w:t xml:space="preserve">Extends: AI-Native CRM + ERP Platform Specification (v1.0) and UI Architecture &amp; Interaction Guide (v1.0)</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Introduction &amp; Scope</w:t>
      </w:r>
    </w:p>
    <w:p>
      <w:pPr>
        <w:spacing w:after="160" w:line="276"/>
      </w:pPr>
      <w:r>
        <w:t xml:space="preserve">This document specifies the CRM-to-ERP lead lifecycle and the air freight logistics data model, AI-assisted UI/UX, and system integration architecture for an AI-native Logistics and Air Freight management system. It builds directly on the shared CRM foundation defined in the base platform specification — Lead, Account, Contact, and Opportunity — and extends it into a full air freight operating model: booking, documentation, flight allocation, tracking, and customs clearance.</w:t>
      </w:r>
    </w:p>
    <w:p>
      <w:pPr>
        <w:spacing w:after="160" w:line="276"/>
      </w:pPr>
      <w:r>
        <w:t xml:space="preserve">The specification is organized into three parts, matching the scope requested for engineering handoff:</w:t>
      </w:r>
    </w:p>
    <w:p>
      <w:pPr>
        <w:pStyle w:val="ListParagraph"/>
        <w:numPr>
          <w:ilvl w:val="0"/>
          <w:numId w:val="2"/>
        </w:numPr>
        <w:spacing w:after="90" w:line="264"/>
      </w:pPr>
      <w:r>
        <w:t xml:space="preserve">CRM Lead Lifecycle — the standard lead-to-Opportunity conversion process, including the trigger logic and data persistence requirements fired by the “Convert” action.</w:t>
      </w:r>
    </w:p>
    <w:p>
      <w:pPr>
        <w:pStyle w:val="ListParagraph"/>
        <w:numPr>
          <w:ilvl w:val="0"/>
          <w:numId w:val="2"/>
        </w:numPr>
        <w:spacing w:after="90" w:line="264"/>
      </w:pPr>
      <w:r>
        <w:t xml:space="preserve">Logistics &amp; Air Freight Data Schema — end-to-end objects (Shipment, Booking Request, Air Waybill, Flight Manifest, ULD, Tracking/FSU, Customs Clearance) with field types and relational mapping, using IATA-standard terminology.</w:t>
      </w:r>
    </w:p>
    <w:p>
      <w:pPr>
        <w:pStyle w:val="ListParagraph"/>
        <w:numPr>
          <w:ilvl w:val="0"/>
          <w:numId w:val="2"/>
        </w:numPr>
        <w:spacing w:after="90" w:line="264"/>
      </w:pPr>
      <w:r>
        <w:t xml:space="preserve">Technical UI/UX Specification and System Architecture &amp; Integration Logic — AI-assisted data entry, dynamic tracking visualization, exception-handling UI patterns, and the backend event/message architecture that maps Cargo-IMP/XML traffic onto the schema.</w:t>
      </w:r>
    </w:p>
    <w:p>
      <w:pPr>
        <w:spacing w:after="160" w:line="276"/>
      </w:pPr>
      <w:r>
        <w:t xml:space="preserve">As with the base platform, every table below carries the standard audit and multi-tenancy columns defined in §2.5, and every cross-domain hand-off is implemented as a published domain event rather than a direct cross-service database write.</w:t>
      </w:r>
    </w:p>
    <w:p>
      <w:r>
        <w:br w:type="page"/>
      </w:r>
    </w:p>
    <w:p>
      <w:pPr>
        <w:pStyle w:val="Heading1"/>
        <w:spacing w:after="200" w:before="400"/>
      </w:pPr>
      <w:r>
        <w:t xml:space="preserve">2. CRM Lead Lifecycle &amp; Conversion Logic</w:t>
      </w:r>
    </w:p>
    <w:p>
      <w:pPr>
        <w:spacing w:after="160" w:line="276"/>
      </w:pPr>
      <w:r>
        <w:t xml:space="preserve">The Lead object is extended with freight-specific qualification fields so a forwarding sales rep can qualify an air freight opportunity without leaving the Lead record. Conversion behavior — the “Convert” button — follows the same governed, transactional pattern as the base CRM specification, mapping one Lead into exactly one Account, one primary Contact, and one Opportunity.</w:t>
      </w:r>
    </w:p>
    <w:p>
      <w:pPr>
        <w:pStyle w:val="Heading2"/>
        <w:spacing w:after="150" w:before="300"/>
      </w:pPr>
      <w:r>
        <w:t xml:space="preserve">2.1 Lead Object (Air Freight Extension)</w:t>
      </w:r>
    </w:p>
    <w:p>
      <w:pPr>
        <w:spacing w:after="40" w:before="240"/>
      </w:pPr>
      <w:r>
        <w:rPr>
          <w:b/>
          <w:bCs/>
          <w:sz w:val="22"/>
          <w:szCs w:val="22"/>
        </w:rPr>
        <w:t xml:space="preserve">Lead</w:t>
      </w:r>
      <w:r>
        <w:rPr>
          <w:i/>
          <w:iCs/>
          <w:color w:val="595959"/>
          <w:sz w:val="18"/>
          <w:szCs w:val="18"/>
        </w:rPr>
        <w:t xml:space="preserve">  crm.leads (freight-extended)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800"/>
        <w:gridCol w:w="2340"/>
      </w:tblGrid>
      <w:tr>
        <w:trPr>
          <w:tblHeader/>
        </w:trPr>
        <w:tc>
          <w:tcPr>
            <w:tcW w:type="dxa" w:w="2000"/>
            <w:shd w:fill="1F3864" w:val="clear"/>
            <w:tcMar>
              <w:top w:type="dxa" w:w="80"/>
              <w:left w:type="dxa" w:w="100"/>
              <w:bottom w:type="dxa" w:w="80"/>
              <w:right w:type="dxa" w:w="100"/>
            </w:tcMar>
            <w:vAlign w:val="center"/>
          </w:tcPr>
          <w:p>
            <w:pPr>
              <w:spacing w:after="0"/>
            </w:pPr>
            <w:r>
              <w:rPr>
                <w:b/>
                <w:bCs/>
                <w:color w:val="FFFFFF"/>
                <w:sz w:val="18"/>
                <w:szCs w:val="18"/>
              </w:rPr>
              <w:t xml:space="preserve">Field</w:t>
            </w:r>
          </w:p>
        </w:tc>
        <w:tc>
          <w:tcPr>
            <w:tcW w:type="dxa" w:w="1500"/>
            <w:shd w:fill="1F3864" w:val="clear"/>
            <w:tcMar>
              <w:top w:type="dxa" w:w="80"/>
              <w:left w:type="dxa" w:w="100"/>
              <w:bottom w:type="dxa" w:w="80"/>
              <w:right w:type="dxa" w:w="100"/>
            </w:tcMar>
            <w:vAlign w:val="center"/>
          </w:tcPr>
          <w:p>
            <w:pPr>
              <w:spacing w:after="0"/>
            </w:pPr>
            <w:r>
              <w:rPr>
                <w:b/>
                <w:bCs/>
                <w:color w:val="FFFFFF"/>
                <w:sz w:val="18"/>
                <w:szCs w:val="18"/>
              </w:rPr>
              <w:t xml:space="preserve">Type</w:t>
            </w:r>
          </w:p>
        </w:tc>
        <w:tc>
          <w:tcPr>
            <w:tcW w:type="dxa" w:w="3800"/>
            <w:shd w:fill="1F3864" w:val="clear"/>
            <w:tcMar>
              <w:top w:type="dxa" w:w="80"/>
              <w:left w:type="dxa" w:w="100"/>
              <w:bottom w:type="dxa" w:w="80"/>
              <w:right w:type="dxa" w:w="100"/>
            </w:tcMar>
            <w:vAlign w:val="center"/>
          </w:tcPr>
          <w:p>
            <w:pPr>
              <w:spacing w:after="0"/>
            </w:pPr>
            <w:r>
              <w:rPr>
                <w:b/>
                <w:bCs/>
                <w:color w:val="FFFFFF"/>
                <w:sz w:val="18"/>
                <w:szCs w:val="18"/>
              </w:rPr>
              <w:t xml:space="preserve">Description</w:t>
            </w:r>
          </w:p>
        </w:tc>
        <w:tc>
          <w:tcPr>
            <w:tcW w:type="dxa" w:w="2340"/>
            <w:shd w:fill="1F3864" w:val="clear"/>
            <w:tcMar>
              <w:top w:type="dxa" w:w="80"/>
              <w:left w:type="dxa" w:w="100"/>
              <w:bottom w:type="dxa" w:w="80"/>
              <w:right w:type="dxa" w:w="100"/>
            </w:tcMar>
            <w:vAlign w:val="center"/>
          </w:tcPr>
          <w:p>
            <w:pPr>
              <w:spacing w:after="0"/>
            </w:pPr>
            <w:r>
              <w:rPr>
                <w:b/>
                <w:bCs/>
                <w:color w:val="FFFFFF"/>
                <w:sz w:val="18"/>
                <w:szCs w:val="18"/>
              </w:rPr>
              <w:t xml:space="preserve">Key / Relationship</w:t>
            </w:r>
          </w:p>
        </w:tc>
      </w:tr>
      <w:tr>
        <w:tc>
          <w:tcPr>
            <w:tcW w:type="dxa" w:w="2000"/>
            <w:tcMar>
              <w:top w:type="dxa" w:w="60"/>
              <w:left w:type="dxa" w:w="100"/>
              <w:bottom w:type="dxa" w:w="60"/>
              <w:right w:type="dxa" w:w="100"/>
            </w:tcMar>
            <w:vAlign w:val="center"/>
          </w:tcPr>
          <w:p>
            <w:pPr>
              <w:spacing w:after="0"/>
            </w:pPr>
            <w:r>
              <w:rPr>
                <w:b w:val="false"/>
                <w:bCs w:val="false"/>
                <w:color w:val="000000"/>
                <w:sz w:val="18"/>
                <w:szCs w:val="18"/>
              </w:rPr>
              <w:t xml:space="preserve">lead_id</w:t>
            </w:r>
          </w:p>
        </w:tc>
        <w:tc>
          <w:tcPr>
            <w:tcW w:type="dxa" w:w="1500"/>
            <w:tcMar>
              <w:top w:type="dxa" w:w="60"/>
              <w:left w:type="dxa" w:w="100"/>
              <w:bottom w:type="dxa" w:w="60"/>
              <w:right w:type="dxa" w:w="100"/>
            </w:tcMar>
            <w:vAlign w:val="center"/>
          </w:tcPr>
          <w:p>
            <w:pPr>
              <w:spacing w:after="0"/>
            </w:pPr>
            <w:r>
              <w:rPr>
                <w:b w:val="false"/>
                <w:bCs w:val="false"/>
                <w:color w:val="000000"/>
                <w:sz w:val="18"/>
                <w:szCs w:val="18"/>
              </w:rPr>
              <w:t xml:space="preserve">UUID (PK)</w:t>
            </w:r>
          </w:p>
        </w:tc>
        <w:tc>
          <w:tcPr>
            <w:tcW w:type="dxa" w:w="3800"/>
            <w:tcMar>
              <w:top w:type="dxa" w:w="60"/>
              <w:left w:type="dxa" w:w="100"/>
              <w:bottom w:type="dxa" w:w="60"/>
              <w:right w:type="dxa" w:w="100"/>
            </w:tcMar>
            <w:vAlign w:val="center"/>
          </w:tcPr>
          <w:p>
            <w:pPr>
              <w:spacing w:after="0"/>
            </w:pPr>
            <w:r>
              <w:rPr>
                <w:b w:val="false"/>
                <w:bCs w:val="false"/>
                <w:color w:val="000000"/>
                <w:sz w:val="18"/>
                <w:szCs w:val="18"/>
              </w:rPr>
              <w:t xml:space="preserve">Primary key.</w:t>
            </w:r>
          </w:p>
        </w:tc>
        <w:tc>
          <w:tcPr>
            <w:tcW w:type="dxa" w:w="2340"/>
            <w:tcMar>
              <w:top w:type="dxa" w:w="60"/>
              <w:left w:type="dxa" w:w="100"/>
              <w:bottom w:type="dxa" w:w="60"/>
              <w:right w:type="dxa" w:w="100"/>
            </w:tcMar>
            <w:vAlign w:val="center"/>
          </w:tcPr>
          <w:p>
            <w:pPr>
              <w:spacing w:after="0"/>
            </w:pPr>
            <w:r>
              <w:rPr>
                <w:b w:val="false"/>
                <w:bCs w:val="false"/>
                <w:color w:val="000000"/>
                <w:sz w:val="18"/>
                <w:szCs w:val="18"/>
              </w:rPr>
              <w:t xml:space="preserve">PK</w:t>
            </w:r>
          </w:p>
        </w:tc>
      </w:tr>
      <w:tr>
        <w:tc>
          <w:tcPr>
            <w:tcW w:type="dxa" w:w="20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company_name</w:t>
            </w:r>
          </w:p>
        </w:tc>
        <w:tc>
          <w:tcPr>
            <w:tcW w:type="dxa" w:w="15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VARCHAR(200)</w:t>
            </w:r>
          </w:p>
        </w:tc>
        <w:tc>
          <w:tcPr>
            <w:tcW w:type="dxa" w:w="38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Prospective shipper / consignee / forwarder company name.</w:t>
            </w:r>
          </w:p>
        </w:tc>
        <w:tc>
          <w:tcPr>
            <w:tcW w:type="dxa" w:w="23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
            </w:r>
          </w:p>
        </w:tc>
      </w:tr>
      <w:tr>
        <w:tc>
          <w:tcPr>
            <w:tcW w:type="dxa" w:w="2000"/>
            <w:tcMar>
              <w:top w:type="dxa" w:w="60"/>
              <w:left w:type="dxa" w:w="100"/>
              <w:bottom w:type="dxa" w:w="60"/>
              <w:right w:type="dxa" w:w="100"/>
            </w:tcMar>
            <w:vAlign w:val="center"/>
          </w:tcPr>
          <w:p>
            <w:pPr>
              <w:spacing w:after="0"/>
            </w:pPr>
            <w:r>
              <w:rPr>
                <w:b w:val="false"/>
                <w:bCs w:val="false"/>
                <w:color w:val="000000"/>
                <w:sz w:val="18"/>
                <w:szCs w:val="18"/>
              </w:rPr>
              <w:t xml:space="preserve">contact_name</w:t>
            </w:r>
          </w:p>
        </w:tc>
        <w:tc>
          <w:tcPr>
            <w:tcW w:type="dxa" w:w="1500"/>
            <w:tcMar>
              <w:top w:type="dxa" w:w="60"/>
              <w:left w:type="dxa" w:w="100"/>
              <w:bottom w:type="dxa" w:w="60"/>
              <w:right w:type="dxa" w:w="100"/>
            </w:tcMar>
            <w:vAlign w:val="center"/>
          </w:tcPr>
          <w:p>
            <w:pPr>
              <w:spacing w:after="0"/>
            </w:pPr>
            <w:r>
              <w:rPr>
                <w:b w:val="false"/>
                <w:bCs w:val="false"/>
                <w:color w:val="000000"/>
                <w:sz w:val="18"/>
                <w:szCs w:val="18"/>
              </w:rPr>
              <w:t xml:space="preserve">VARCHAR(150)</w:t>
            </w:r>
          </w:p>
        </w:tc>
        <w:tc>
          <w:tcPr>
            <w:tcW w:type="dxa" w:w="3800"/>
            <w:tcMar>
              <w:top w:type="dxa" w:w="60"/>
              <w:left w:type="dxa" w:w="100"/>
              <w:bottom w:type="dxa" w:w="60"/>
              <w:right w:type="dxa" w:w="100"/>
            </w:tcMar>
            <w:vAlign w:val="center"/>
          </w:tcPr>
          <w:p>
            <w:pPr>
              <w:spacing w:after="0"/>
            </w:pPr>
            <w:r>
              <w:rPr>
                <w:b w:val="false"/>
                <w:bCs w:val="false"/>
                <w:color w:val="000000"/>
                <w:sz w:val="18"/>
                <w:szCs w:val="18"/>
              </w:rPr>
              <w:t xml:space="preserve">Primary contact at the prospect.</w:t>
            </w:r>
          </w:p>
        </w:tc>
        <w:tc>
          <w:tcPr>
            <w:tcW w:type="dxa" w:w="2340"/>
            <w:tcMar>
              <w:top w:type="dxa" w:w="60"/>
              <w:left w:type="dxa" w:w="100"/>
              <w:bottom w:type="dxa" w:w="60"/>
              <w:right w:type="dxa" w:w="100"/>
            </w:tcMar>
            <w:vAlign w:val="center"/>
          </w:tcPr>
          <w:p>
            <w:pPr>
              <w:spacing w:after="0"/>
            </w:pPr>
            <w:r>
              <w:rPr>
                <w:b w:val="false"/>
                <w:bCs w:val="false"/>
                <w:color w:val="000000"/>
                <w:sz w:val="18"/>
                <w:szCs w:val="18"/>
              </w:rPr>
              <w:t xml:space="preserve"/>
            </w:r>
          </w:p>
        </w:tc>
      </w:tr>
      <w:tr>
        <w:tc>
          <w:tcPr>
            <w:tcW w:type="dxa" w:w="20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source</w:t>
            </w:r>
          </w:p>
        </w:tc>
        <w:tc>
          <w:tcPr>
            <w:tcW w:type="dxa" w:w="15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ENUM</w:t>
            </w:r>
          </w:p>
        </w:tc>
        <w:tc>
          <w:tcPr>
            <w:tcW w:type="dxa" w:w="38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Inbound RFQ portal, referral, tender, outbound, event.</w:t>
            </w:r>
          </w:p>
        </w:tc>
        <w:tc>
          <w:tcPr>
            <w:tcW w:type="dxa" w:w="23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
            </w:r>
          </w:p>
        </w:tc>
      </w:tr>
      <w:tr>
        <w:tc>
          <w:tcPr>
            <w:tcW w:type="dxa" w:w="2000"/>
            <w:tcMar>
              <w:top w:type="dxa" w:w="60"/>
              <w:left w:type="dxa" w:w="100"/>
              <w:bottom w:type="dxa" w:w="60"/>
              <w:right w:type="dxa" w:w="100"/>
            </w:tcMar>
            <w:vAlign w:val="center"/>
          </w:tcPr>
          <w:p>
            <w:pPr>
              <w:spacing w:after="0"/>
            </w:pPr>
            <w:r>
              <w:rPr>
                <w:b w:val="false"/>
                <w:bCs w:val="false"/>
                <w:color w:val="000000"/>
                <w:sz w:val="18"/>
                <w:szCs w:val="18"/>
              </w:rPr>
              <w:t xml:space="preserve">trade_lane</w:t>
            </w:r>
          </w:p>
        </w:tc>
        <w:tc>
          <w:tcPr>
            <w:tcW w:type="dxa" w:w="1500"/>
            <w:tcMar>
              <w:top w:type="dxa" w:w="60"/>
              <w:left w:type="dxa" w:w="100"/>
              <w:bottom w:type="dxa" w:w="60"/>
              <w:right w:type="dxa" w:w="100"/>
            </w:tcMar>
            <w:vAlign w:val="center"/>
          </w:tcPr>
          <w:p>
            <w:pPr>
              <w:spacing w:after="0"/>
            </w:pPr>
            <w:r>
              <w:rPr>
                <w:b w:val="false"/>
                <w:bCs w:val="false"/>
                <w:color w:val="000000"/>
                <w:sz w:val="18"/>
                <w:szCs w:val="18"/>
              </w:rPr>
              <w:t xml:space="preserve">VARCHAR(20)</w:t>
            </w:r>
          </w:p>
        </w:tc>
        <w:tc>
          <w:tcPr>
            <w:tcW w:type="dxa" w:w="3800"/>
            <w:tcMar>
              <w:top w:type="dxa" w:w="60"/>
              <w:left w:type="dxa" w:w="100"/>
              <w:bottom w:type="dxa" w:w="60"/>
              <w:right w:type="dxa" w:w="100"/>
            </w:tcMar>
            <w:vAlign w:val="center"/>
          </w:tcPr>
          <w:p>
            <w:pPr>
              <w:spacing w:after="0"/>
            </w:pPr>
            <w:r>
              <w:rPr>
                <w:b w:val="false"/>
                <w:bCs w:val="false"/>
                <w:color w:val="000000"/>
                <w:sz w:val="18"/>
                <w:szCs w:val="18"/>
              </w:rPr>
              <w:t xml:space="preserve">Origin–destination IATA airport pair, e.g. DOH–FRA.</w:t>
            </w:r>
          </w:p>
        </w:tc>
        <w:tc>
          <w:tcPr>
            <w:tcW w:type="dxa" w:w="2340"/>
            <w:tcMar>
              <w:top w:type="dxa" w:w="60"/>
              <w:left w:type="dxa" w:w="100"/>
              <w:bottom w:type="dxa" w:w="60"/>
              <w:right w:type="dxa" w:w="100"/>
            </w:tcMar>
            <w:vAlign w:val="center"/>
          </w:tcPr>
          <w:p>
            <w:pPr>
              <w:spacing w:after="0"/>
            </w:pPr>
            <w:r>
              <w:rPr>
                <w:b w:val="false"/>
                <w:bCs w:val="false"/>
                <w:color w:val="000000"/>
                <w:sz w:val="18"/>
                <w:szCs w:val="18"/>
              </w:rPr>
              <w:t xml:space="preserve">FK → ref.airports.iata_code (x2)</w:t>
            </w:r>
          </w:p>
        </w:tc>
      </w:tr>
      <w:tr>
        <w:tc>
          <w:tcPr>
            <w:tcW w:type="dxa" w:w="20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cargo_type</w:t>
            </w:r>
          </w:p>
        </w:tc>
        <w:tc>
          <w:tcPr>
            <w:tcW w:type="dxa" w:w="15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ENUM</w:t>
            </w:r>
          </w:p>
        </w:tc>
        <w:tc>
          <w:tcPr>
            <w:tcW w:type="dxa" w:w="38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General, Perishable, Dangerous Goods, Live Animals, Pharma, Valuable, Human Remains.</w:t>
            </w:r>
          </w:p>
        </w:tc>
        <w:tc>
          <w:tcPr>
            <w:tcW w:type="dxa" w:w="23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
            </w:r>
          </w:p>
        </w:tc>
      </w:tr>
      <w:tr>
        <w:tc>
          <w:tcPr>
            <w:tcW w:type="dxa" w:w="2000"/>
            <w:tcMar>
              <w:top w:type="dxa" w:w="60"/>
              <w:left w:type="dxa" w:w="100"/>
              <w:bottom w:type="dxa" w:w="60"/>
              <w:right w:type="dxa" w:w="100"/>
            </w:tcMar>
            <w:vAlign w:val="center"/>
          </w:tcPr>
          <w:p>
            <w:pPr>
              <w:spacing w:after="0"/>
            </w:pPr>
            <w:r>
              <w:rPr>
                <w:b w:val="false"/>
                <w:bCs w:val="false"/>
                <w:color w:val="000000"/>
                <w:sz w:val="18"/>
                <w:szCs w:val="18"/>
              </w:rPr>
              <w:t xml:space="preserve">est_chargeable_weight_kg</w:t>
            </w:r>
          </w:p>
        </w:tc>
        <w:tc>
          <w:tcPr>
            <w:tcW w:type="dxa" w:w="1500"/>
            <w:tcMar>
              <w:top w:type="dxa" w:w="60"/>
              <w:left w:type="dxa" w:w="100"/>
              <w:bottom w:type="dxa" w:w="60"/>
              <w:right w:type="dxa" w:w="100"/>
            </w:tcMar>
            <w:vAlign w:val="center"/>
          </w:tcPr>
          <w:p>
            <w:pPr>
              <w:spacing w:after="0"/>
            </w:pPr>
            <w:r>
              <w:rPr>
                <w:b w:val="false"/>
                <w:bCs w:val="false"/>
                <w:color w:val="000000"/>
                <w:sz w:val="18"/>
                <w:szCs w:val="18"/>
              </w:rPr>
              <w:t xml:space="preserve">DECIMAL(12,2)</w:t>
            </w:r>
          </w:p>
        </w:tc>
        <w:tc>
          <w:tcPr>
            <w:tcW w:type="dxa" w:w="3800"/>
            <w:tcMar>
              <w:top w:type="dxa" w:w="60"/>
              <w:left w:type="dxa" w:w="100"/>
              <w:bottom w:type="dxa" w:w="60"/>
              <w:right w:type="dxa" w:w="100"/>
            </w:tcMar>
            <w:vAlign w:val="center"/>
          </w:tcPr>
          <w:p>
            <w:pPr>
              <w:spacing w:after="0"/>
            </w:pPr>
            <w:r>
              <w:rPr>
                <w:b w:val="false"/>
                <w:bCs w:val="false"/>
                <w:color w:val="000000"/>
                <w:sz w:val="18"/>
                <w:szCs w:val="18"/>
              </w:rPr>
              <w:t xml:space="preserve">Rough chargeable weight at capture time.</w:t>
            </w:r>
          </w:p>
        </w:tc>
        <w:tc>
          <w:tcPr>
            <w:tcW w:type="dxa" w:w="2340"/>
            <w:tcMar>
              <w:top w:type="dxa" w:w="60"/>
              <w:left w:type="dxa" w:w="100"/>
              <w:bottom w:type="dxa" w:w="60"/>
              <w:right w:type="dxa" w:w="100"/>
            </w:tcMar>
            <w:vAlign w:val="center"/>
          </w:tcPr>
          <w:p>
            <w:pPr>
              <w:spacing w:after="0"/>
            </w:pPr>
            <w:r>
              <w:rPr>
                <w:b w:val="false"/>
                <w:bCs w:val="false"/>
                <w:color w:val="000000"/>
                <w:sz w:val="18"/>
                <w:szCs w:val="18"/>
              </w:rPr>
              <w:t xml:space="preserve"/>
            </w:r>
          </w:p>
        </w:tc>
      </w:tr>
      <w:tr>
        <w:tc>
          <w:tcPr>
            <w:tcW w:type="dxa" w:w="20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incoterm</w:t>
            </w:r>
          </w:p>
        </w:tc>
        <w:tc>
          <w:tcPr>
            <w:tcW w:type="dxa" w:w="15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ENUM</w:t>
            </w:r>
          </w:p>
        </w:tc>
        <w:tc>
          <w:tcPr>
            <w:tcW w:type="dxa" w:w="38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EXW, FCA, FOB, CPT, CIP, DAP, DPU, DDP.</w:t>
            </w:r>
          </w:p>
        </w:tc>
        <w:tc>
          <w:tcPr>
            <w:tcW w:type="dxa" w:w="23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
            </w:r>
          </w:p>
        </w:tc>
      </w:tr>
      <w:tr>
        <w:tc>
          <w:tcPr>
            <w:tcW w:type="dxa" w:w="2000"/>
            <w:tcMar>
              <w:top w:type="dxa" w:w="60"/>
              <w:left w:type="dxa" w:w="100"/>
              <w:bottom w:type="dxa" w:w="60"/>
              <w:right w:type="dxa" w:w="100"/>
            </w:tcMar>
            <w:vAlign w:val="center"/>
          </w:tcPr>
          <w:p>
            <w:pPr>
              <w:spacing w:after="0"/>
            </w:pPr>
            <w:r>
              <w:rPr>
                <w:b w:val="false"/>
                <w:bCs w:val="false"/>
                <w:color w:val="000000"/>
                <w:sz w:val="18"/>
                <w:szCs w:val="18"/>
              </w:rPr>
              <w:t xml:space="preserve">estimated_value</w:t>
            </w:r>
          </w:p>
        </w:tc>
        <w:tc>
          <w:tcPr>
            <w:tcW w:type="dxa" w:w="1500"/>
            <w:tcMar>
              <w:top w:type="dxa" w:w="60"/>
              <w:left w:type="dxa" w:w="100"/>
              <w:bottom w:type="dxa" w:w="60"/>
              <w:right w:type="dxa" w:w="100"/>
            </w:tcMar>
            <w:vAlign w:val="center"/>
          </w:tcPr>
          <w:p>
            <w:pPr>
              <w:spacing w:after="0"/>
            </w:pPr>
            <w:r>
              <w:rPr>
                <w:b w:val="false"/>
                <w:bCs w:val="false"/>
                <w:color w:val="000000"/>
                <w:sz w:val="18"/>
                <w:szCs w:val="18"/>
              </w:rPr>
              <w:t xml:space="preserve">DECIMAL(18,2)</w:t>
            </w:r>
          </w:p>
        </w:tc>
        <w:tc>
          <w:tcPr>
            <w:tcW w:type="dxa" w:w="3800"/>
            <w:tcMar>
              <w:top w:type="dxa" w:w="60"/>
              <w:left w:type="dxa" w:w="100"/>
              <w:bottom w:type="dxa" w:w="60"/>
              <w:right w:type="dxa" w:w="100"/>
            </w:tcMar>
            <w:vAlign w:val="center"/>
          </w:tcPr>
          <w:p>
            <w:pPr>
              <w:spacing w:after="0"/>
            </w:pPr>
            <w:r>
              <w:rPr>
                <w:b w:val="false"/>
                <w:bCs w:val="false"/>
                <w:color w:val="000000"/>
                <w:sz w:val="18"/>
                <w:szCs w:val="18"/>
              </w:rPr>
              <w:t xml:space="preserve">Rough opportunity size at capture time.</w:t>
            </w:r>
          </w:p>
        </w:tc>
        <w:tc>
          <w:tcPr>
            <w:tcW w:type="dxa" w:w="2340"/>
            <w:tcMar>
              <w:top w:type="dxa" w:w="60"/>
              <w:left w:type="dxa" w:w="100"/>
              <w:bottom w:type="dxa" w:w="60"/>
              <w:right w:type="dxa" w:w="100"/>
            </w:tcMar>
            <w:vAlign w:val="center"/>
          </w:tcPr>
          <w:p>
            <w:pPr>
              <w:spacing w:after="0"/>
            </w:pPr>
            <w:r>
              <w:rPr>
                <w:b w:val="false"/>
                <w:bCs w:val="false"/>
                <w:color w:val="000000"/>
                <w:sz w:val="18"/>
                <w:szCs w:val="18"/>
              </w:rPr>
              <w:t xml:space="preserve"/>
            </w:r>
          </w:p>
        </w:tc>
      </w:tr>
      <w:tr>
        <w:tc>
          <w:tcPr>
            <w:tcW w:type="dxa" w:w="20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currency_code</w:t>
            </w:r>
          </w:p>
        </w:tc>
        <w:tc>
          <w:tcPr>
            <w:tcW w:type="dxa" w:w="15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CHAR(3)</w:t>
            </w:r>
          </w:p>
        </w:tc>
        <w:tc>
          <w:tcPr>
            <w:tcW w:type="dxa" w:w="38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ISO 4217 currency of estimated_value.</w:t>
            </w:r>
          </w:p>
        </w:tc>
        <w:tc>
          <w:tcPr>
            <w:tcW w:type="dxa" w:w="23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FK → currency.code</w:t>
            </w:r>
          </w:p>
        </w:tc>
      </w:tr>
      <w:tr>
        <w:tc>
          <w:tcPr>
            <w:tcW w:type="dxa" w:w="2000"/>
            <w:tcMar>
              <w:top w:type="dxa" w:w="60"/>
              <w:left w:type="dxa" w:w="100"/>
              <w:bottom w:type="dxa" w:w="60"/>
              <w:right w:type="dxa" w:w="100"/>
            </w:tcMar>
            <w:vAlign w:val="center"/>
          </w:tcPr>
          <w:p>
            <w:pPr>
              <w:spacing w:after="0"/>
            </w:pPr>
            <w:r>
              <w:rPr>
                <w:b w:val="false"/>
                <w:bCs w:val="false"/>
                <w:color w:val="000000"/>
                <w:sz w:val="18"/>
                <w:szCs w:val="18"/>
              </w:rPr>
              <w:t xml:space="preserve">status</w:t>
            </w:r>
          </w:p>
        </w:tc>
        <w:tc>
          <w:tcPr>
            <w:tcW w:type="dxa" w:w="1500"/>
            <w:tcMar>
              <w:top w:type="dxa" w:w="60"/>
              <w:left w:type="dxa" w:w="100"/>
              <w:bottom w:type="dxa" w:w="60"/>
              <w:right w:type="dxa" w:w="100"/>
            </w:tcMar>
            <w:vAlign w:val="center"/>
          </w:tcPr>
          <w:p>
            <w:pPr>
              <w:spacing w:after="0"/>
            </w:pPr>
            <w:r>
              <w:rPr>
                <w:b w:val="false"/>
                <w:bCs w:val="false"/>
                <w:color w:val="000000"/>
                <w:sz w:val="18"/>
                <w:szCs w:val="18"/>
              </w:rPr>
              <w:t xml:space="preserve">ENUM</w:t>
            </w:r>
          </w:p>
        </w:tc>
        <w:tc>
          <w:tcPr>
            <w:tcW w:type="dxa" w:w="3800"/>
            <w:tcMar>
              <w:top w:type="dxa" w:w="60"/>
              <w:left w:type="dxa" w:w="100"/>
              <w:bottom w:type="dxa" w:w="60"/>
              <w:right w:type="dxa" w:w="100"/>
            </w:tcMar>
            <w:vAlign w:val="center"/>
          </w:tcPr>
          <w:p>
            <w:pPr>
              <w:spacing w:after="0"/>
            </w:pPr>
            <w:r>
              <w:rPr>
                <w:b w:val="false"/>
                <w:bCs w:val="false"/>
                <w:color w:val="000000"/>
                <w:sz w:val="18"/>
                <w:szCs w:val="18"/>
              </w:rPr>
              <w:t xml:space="preserve">New, Qualifying, Qualified, Disqualified, Converted.</w:t>
            </w:r>
          </w:p>
        </w:tc>
        <w:tc>
          <w:tcPr>
            <w:tcW w:type="dxa" w:w="2340"/>
            <w:tcMar>
              <w:top w:type="dxa" w:w="60"/>
              <w:left w:type="dxa" w:w="100"/>
              <w:bottom w:type="dxa" w:w="60"/>
              <w:right w:type="dxa" w:w="100"/>
            </w:tcMar>
            <w:vAlign w:val="center"/>
          </w:tcPr>
          <w:p>
            <w:pPr>
              <w:spacing w:after="0"/>
            </w:pPr>
            <w:r>
              <w:rPr>
                <w:b w:val="false"/>
                <w:bCs w:val="false"/>
                <w:color w:val="000000"/>
                <w:sz w:val="18"/>
                <w:szCs w:val="18"/>
              </w:rPr>
              <w:t xml:space="preserve"/>
            </w:r>
          </w:p>
        </w:tc>
      </w:tr>
      <w:tr>
        <w:tc>
          <w:tcPr>
            <w:tcW w:type="dxa" w:w="20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owner_id</w:t>
            </w:r>
          </w:p>
        </w:tc>
        <w:tc>
          <w:tcPr>
            <w:tcW w:type="dxa" w:w="15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UUID</w:t>
            </w:r>
          </w:p>
        </w:tc>
        <w:tc>
          <w:tcPr>
            <w:tcW w:type="dxa" w:w="38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Sales rep responsible for the lead.</w:t>
            </w:r>
          </w:p>
        </w:tc>
        <w:tc>
          <w:tcPr>
            <w:tcW w:type="dxa" w:w="23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FK → users.user_id</w:t>
            </w:r>
          </w:p>
        </w:tc>
      </w:tr>
      <w:tr>
        <w:tc>
          <w:tcPr>
            <w:tcW w:type="dxa" w:w="2000"/>
            <w:tcMar>
              <w:top w:type="dxa" w:w="60"/>
              <w:left w:type="dxa" w:w="100"/>
              <w:bottom w:type="dxa" w:w="60"/>
              <w:right w:type="dxa" w:w="100"/>
            </w:tcMar>
            <w:vAlign w:val="center"/>
          </w:tcPr>
          <w:p>
            <w:pPr>
              <w:spacing w:after="0"/>
            </w:pPr>
            <w:r>
              <w:rPr>
                <w:b w:val="false"/>
                <w:bCs w:val="false"/>
                <w:color w:val="000000"/>
                <w:sz w:val="18"/>
                <w:szCs w:val="18"/>
              </w:rPr>
              <w:t xml:space="preserve">converted_account_id</w:t>
            </w:r>
          </w:p>
        </w:tc>
        <w:tc>
          <w:tcPr>
            <w:tcW w:type="dxa" w:w="1500"/>
            <w:tcMar>
              <w:top w:type="dxa" w:w="60"/>
              <w:left w:type="dxa" w:w="100"/>
              <w:bottom w:type="dxa" w:w="60"/>
              <w:right w:type="dxa" w:w="100"/>
            </w:tcMar>
            <w:vAlign w:val="center"/>
          </w:tcPr>
          <w:p>
            <w:pPr>
              <w:spacing w:after="0"/>
            </w:pPr>
            <w:r>
              <w:rPr>
                <w:b w:val="false"/>
                <w:bCs w:val="false"/>
                <w:color w:val="000000"/>
                <w:sz w:val="18"/>
                <w:szCs w:val="18"/>
              </w:rPr>
              <w:t xml:space="preserve">UUID, nullable</w:t>
            </w:r>
          </w:p>
        </w:tc>
        <w:tc>
          <w:tcPr>
            <w:tcW w:type="dxa" w:w="3800"/>
            <w:tcMar>
              <w:top w:type="dxa" w:w="60"/>
              <w:left w:type="dxa" w:w="100"/>
              <w:bottom w:type="dxa" w:w="60"/>
              <w:right w:type="dxa" w:w="100"/>
            </w:tcMar>
            <w:vAlign w:val="center"/>
          </w:tcPr>
          <w:p>
            <w:pPr>
              <w:spacing w:after="0"/>
            </w:pPr>
            <w:r>
              <w:rPr>
                <w:b w:val="false"/>
                <w:bCs w:val="false"/>
                <w:color w:val="000000"/>
                <w:sz w:val="18"/>
                <w:szCs w:val="18"/>
              </w:rPr>
              <w:t xml:space="preserve">Set once the lead is converted.</w:t>
            </w:r>
          </w:p>
        </w:tc>
        <w:tc>
          <w:tcPr>
            <w:tcW w:type="dxa" w:w="2340"/>
            <w:tcMar>
              <w:top w:type="dxa" w:w="60"/>
              <w:left w:type="dxa" w:w="100"/>
              <w:bottom w:type="dxa" w:w="60"/>
              <w:right w:type="dxa" w:w="100"/>
            </w:tcMar>
            <w:vAlign w:val="center"/>
          </w:tcPr>
          <w:p>
            <w:pPr>
              <w:spacing w:after="0"/>
            </w:pPr>
            <w:r>
              <w:rPr>
                <w:b w:val="false"/>
                <w:bCs w:val="false"/>
                <w:color w:val="000000"/>
                <w:sz w:val="18"/>
                <w:szCs w:val="18"/>
              </w:rPr>
              <w:t xml:space="preserve">FK → accounts.account_id</w:t>
            </w:r>
          </w:p>
        </w:tc>
      </w:tr>
      <w:tr>
        <w:tc>
          <w:tcPr>
            <w:tcW w:type="dxa" w:w="20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converted_contact_id</w:t>
            </w:r>
          </w:p>
        </w:tc>
        <w:tc>
          <w:tcPr>
            <w:tcW w:type="dxa" w:w="15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UUID, nullable</w:t>
            </w:r>
          </w:p>
        </w:tc>
        <w:tc>
          <w:tcPr>
            <w:tcW w:type="dxa" w:w="38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Set once the lead is converted.</w:t>
            </w:r>
          </w:p>
        </w:tc>
        <w:tc>
          <w:tcPr>
            <w:tcW w:type="dxa" w:w="23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FK → contacts.contact_id</w:t>
            </w:r>
          </w:p>
        </w:tc>
      </w:tr>
      <w:tr>
        <w:tc>
          <w:tcPr>
            <w:tcW w:type="dxa" w:w="2000"/>
            <w:tcMar>
              <w:top w:type="dxa" w:w="60"/>
              <w:left w:type="dxa" w:w="100"/>
              <w:bottom w:type="dxa" w:w="60"/>
              <w:right w:type="dxa" w:w="100"/>
            </w:tcMar>
            <w:vAlign w:val="center"/>
          </w:tcPr>
          <w:p>
            <w:pPr>
              <w:spacing w:after="0"/>
            </w:pPr>
            <w:r>
              <w:rPr>
                <w:b w:val="false"/>
                <w:bCs w:val="false"/>
                <w:color w:val="000000"/>
                <w:sz w:val="18"/>
                <w:szCs w:val="18"/>
              </w:rPr>
              <w:t xml:space="preserve">converted_opportunity_id</w:t>
            </w:r>
          </w:p>
        </w:tc>
        <w:tc>
          <w:tcPr>
            <w:tcW w:type="dxa" w:w="1500"/>
            <w:tcMar>
              <w:top w:type="dxa" w:w="60"/>
              <w:left w:type="dxa" w:w="100"/>
              <w:bottom w:type="dxa" w:w="60"/>
              <w:right w:type="dxa" w:w="100"/>
            </w:tcMar>
            <w:vAlign w:val="center"/>
          </w:tcPr>
          <w:p>
            <w:pPr>
              <w:spacing w:after="0"/>
            </w:pPr>
            <w:r>
              <w:rPr>
                <w:b w:val="false"/>
                <w:bCs w:val="false"/>
                <w:color w:val="000000"/>
                <w:sz w:val="18"/>
                <w:szCs w:val="18"/>
              </w:rPr>
              <w:t xml:space="preserve">UUID, nullable</w:t>
            </w:r>
          </w:p>
        </w:tc>
        <w:tc>
          <w:tcPr>
            <w:tcW w:type="dxa" w:w="3800"/>
            <w:tcMar>
              <w:top w:type="dxa" w:w="60"/>
              <w:left w:type="dxa" w:w="100"/>
              <w:bottom w:type="dxa" w:w="60"/>
              <w:right w:type="dxa" w:w="100"/>
            </w:tcMar>
            <w:vAlign w:val="center"/>
          </w:tcPr>
          <w:p>
            <w:pPr>
              <w:spacing w:after="0"/>
            </w:pPr>
            <w:r>
              <w:rPr>
                <w:b w:val="false"/>
                <w:bCs w:val="false"/>
                <w:color w:val="000000"/>
                <w:sz w:val="18"/>
                <w:szCs w:val="18"/>
              </w:rPr>
              <w:t xml:space="preserve">Set once the lead is converted.</w:t>
            </w:r>
          </w:p>
        </w:tc>
        <w:tc>
          <w:tcPr>
            <w:tcW w:type="dxa" w:w="2340"/>
            <w:tcMar>
              <w:top w:type="dxa" w:w="60"/>
              <w:left w:type="dxa" w:w="100"/>
              <w:bottom w:type="dxa" w:w="60"/>
              <w:right w:type="dxa" w:w="100"/>
            </w:tcMar>
            <w:vAlign w:val="center"/>
          </w:tcPr>
          <w:p>
            <w:pPr>
              <w:spacing w:after="0"/>
            </w:pPr>
            <w:r>
              <w:rPr>
                <w:b w:val="false"/>
                <w:bCs w:val="false"/>
                <w:color w:val="000000"/>
                <w:sz w:val="18"/>
                <w:szCs w:val="18"/>
              </w:rPr>
              <w:t xml:space="preserve">FK → opportunities.opportunity_id</w:t>
            </w:r>
          </w:p>
        </w:tc>
      </w:tr>
      <w:tr>
        <w:tc>
          <w:tcPr>
            <w:tcW w:type="dxa" w:w="20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converted_at</w:t>
            </w:r>
          </w:p>
        </w:tc>
        <w:tc>
          <w:tcPr>
            <w:tcW w:type="dxa" w:w="15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TIMESTAMP, nullable</w:t>
            </w:r>
          </w:p>
        </w:tc>
        <w:tc>
          <w:tcPr>
            <w:tcW w:type="dxa" w:w="38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Conversion timestamp; also acts as the conversion lock (see §2.3).</w:t>
            </w:r>
          </w:p>
        </w:tc>
        <w:tc>
          <w:tcPr>
            <w:tcW w:type="dxa" w:w="23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
            </w:r>
          </w:p>
        </w:tc>
      </w:tr>
    </w:tbl>
    <w:p>
      <w:pPr>
        <w:spacing w:after="200"/>
      </w:pPr>
    </w:p>
    <w:p>
      <w:pPr>
        <w:pStyle w:val="Heading2"/>
        <w:spacing w:after="150" w:before="300"/>
      </w:pPr>
      <w:r>
        <w:t xml:space="preserve">2.2 Standard Conversion Targets</w:t>
      </w:r>
    </w:p>
    <w:p>
      <w:pPr>
        <w:spacing w:after="160" w:line="276"/>
      </w:pPr>
      <w:r>
        <w:t xml:space="preserve">Conversion always produces the same three downstream objects, reusing the base platform’s Account, Contact, and Opportunity tables unchanged. Freight-specific detail captured on the Lead is carried onto the Opportunity via a set of custom fields shown in §2.4, not by altering the core object shapes — which keeps Account/Contact/Opportunity generic across CRM verticals.</w:t>
      </w:r>
    </w:p>
    <w:p>
      <w:pPr>
        <w:spacing w:after="40" w:before="240"/>
      </w:pPr>
      <w:r>
        <w:rPr>
          <w:b/>
          <w:bCs/>
          <w:sz w:val="22"/>
          <w:szCs w:val="22"/>
        </w:rPr>
        <w:t xml:space="preserve">Opportunity (Freight Extension Fields)</w:t>
      </w:r>
      <w:r>
        <w:rPr>
          <w:i/>
          <w:iCs/>
          <w:color w:val="595959"/>
          <w:sz w:val="18"/>
          <w:szCs w:val="18"/>
        </w:rPr>
        <w:t xml:space="preserve">  crm.opportunities — additive columns used by air freight deals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800"/>
        <w:gridCol w:w="2340"/>
      </w:tblGrid>
      <w:tr>
        <w:trPr>
          <w:tblHeader/>
        </w:trPr>
        <w:tc>
          <w:tcPr>
            <w:tcW w:type="dxa" w:w="2000"/>
            <w:shd w:fill="1F3864" w:val="clear"/>
            <w:tcMar>
              <w:top w:type="dxa" w:w="80"/>
              <w:left w:type="dxa" w:w="100"/>
              <w:bottom w:type="dxa" w:w="80"/>
              <w:right w:type="dxa" w:w="100"/>
            </w:tcMar>
            <w:vAlign w:val="center"/>
          </w:tcPr>
          <w:p>
            <w:pPr>
              <w:spacing w:after="0"/>
            </w:pPr>
            <w:r>
              <w:rPr>
                <w:b/>
                <w:bCs/>
                <w:color w:val="FFFFFF"/>
                <w:sz w:val="18"/>
                <w:szCs w:val="18"/>
              </w:rPr>
              <w:t xml:space="preserve">Field</w:t>
            </w:r>
          </w:p>
        </w:tc>
        <w:tc>
          <w:tcPr>
            <w:tcW w:type="dxa" w:w="1500"/>
            <w:shd w:fill="1F3864" w:val="clear"/>
            <w:tcMar>
              <w:top w:type="dxa" w:w="80"/>
              <w:left w:type="dxa" w:w="100"/>
              <w:bottom w:type="dxa" w:w="80"/>
              <w:right w:type="dxa" w:w="100"/>
            </w:tcMar>
            <w:vAlign w:val="center"/>
          </w:tcPr>
          <w:p>
            <w:pPr>
              <w:spacing w:after="0"/>
            </w:pPr>
            <w:r>
              <w:rPr>
                <w:b/>
                <w:bCs/>
                <w:color w:val="FFFFFF"/>
                <w:sz w:val="18"/>
                <w:szCs w:val="18"/>
              </w:rPr>
              <w:t xml:space="preserve">Type</w:t>
            </w:r>
          </w:p>
        </w:tc>
        <w:tc>
          <w:tcPr>
            <w:tcW w:type="dxa" w:w="3800"/>
            <w:shd w:fill="1F3864" w:val="clear"/>
            <w:tcMar>
              <w:top w:type="dxa" w:w="80"/>
              <w:left w:type="dxa" w:w="100"/>
              <w:bottom w:type="dxa" w:w="80"/>
              <w:right w:type="dxa" w:w="100"/>
            </w:tcMar>
            <w:vAlign w:val="center"/>
          </w:tcPr>
          <w:p>
            <w:pPr>
              <w:spacing w:after="0"/>
            </w:pPr>
            <w:r>
              <w:rPr>
                <w:b/>
                <w:bCs/>
                <w:color w:val="FFFFFF"/>
                <w:sz w:val="18"/>
                <w:szCs w:val="18"/>
              </w:rPr>
              <w:t xml:space="preserve">Description</w:t>
            </w:r>
          </w:p>
        </w:tc>
        <w:tc>
          <w:tcPr>
            <w:tcW w:type="dxa" w:w="2340"/>
            <w:shd w:fill="1F3864" w:val="clear"/>
            <w:tcMar>
              <w:top w:type="dxa" w:w="80"/>
              <w:left w:type="dxa" w:w="100"/>
              <w:bottom w:type="dxa" w:w="80"/>
              <w:right w:type="dxa" w:w="100"/>
            </w:tcMar>
            <w:vAlign w:val="center"/>
          </w:tcPr>
          <w:p>
            <w:pPr>
              <w:spacing w:after="0"/>
            </w:pPr>
            <w:r>
              <w:rPr>
                <w:b/>
                <w:bCs/>
                <w:color w:val="FFFFFF"/>
                <w:sz w:val="18"/>
                <w:szCs w:val="18"/>
              </w:rPr>
              <w:t xml:space="preserve">Key / Relationship</w:t>
            </w:r>
          </w:p>
        </w:tc>
      </w:tr>
      <w:tr>
        <w:tc>
          <w:tcPr>
            <w:tcW w:type="dxa" w:w="2000"/>
            <w:tcMar>
              <w:top w:type="dxa" w:w="60"/>
              <w:left w:type="dxa" w:w="100"/>
              <w:bottom w:type="dxa" w:w="60"/>
              <w:right w:type="dxa" w:w="100"/>
            </w:tcMar>
            <w:vAlign w:val="center"/>
          </w:tcPr>
          <w:p>
            <w:pPr>
              <w:spacing w:after="0"/>
            </w:pPr>
            <w:r>
              <w:rPr>
                <w:b w:val="false"/>
                <w:bCs w:val="false"/>
                <w:color w:val="000000"/>
                <w:sz w:val="18"/>
                <w:szCs w:val="18"/>
              </w:rPr>
              <w:t xml:space="preserve">trade_lane</w:t>
            </w:r>
          </w:p>
        </w:tc>
        <w:tc>
          <w:tcPr>
            <w:tcW w:type="dxa" w:w="1500"/>
            <w:tcMar>
              <w:top w:type="dxa" w:w="60"/>
              <w:left w:type="dxa" w:w="100"/>
              <w:bottom w:type="dxa" w:w="60"/>
              <w:right w:type="dxa" w:w="100"/>
            </w:tcMar>
            <w:vAlign w:val="center"/>
          </w:tcPr>
          <w:p>
            <w:pPr>
              <w:spacing w:after="0"/>
            </w:pPr>
            <w:r>
              <w:rPr>
                <w:b w:val="false"/>
                <w:bCs w:val="false"/>
                <w:color w:val="000000"/>
                <w:sz w:val="18"/>
                <w:szCs w:val="18"/>
              </w:rPr>
              <w:t xml:space="preserve">VARCHAR(20)</w:t>
            </w:r>
          </w:p>
        </w:tc>
        <w:tc>
          <w:tcPr>
            <w:tcW w:type="dxa" w:w="3800"/>
            <w:tcMar>
              <w:top w:type="dxa" w:w="60"/>
              <w:left w:type="dxa" w:w="100"/>
              <w:bottom w:type="dxa" w:w="60"/>
              <w:right w:type="dxa" w:w="100"/>
            </w:tcMar>
            <w:vAlign w:val="center"/>
          </w:tcPr>
          <w:p>
            <w:pPr>
              <w:spacing w:after="0"/>
            </w:pPr>
            <w:r>
              <w:rPr>
                <w:b w:val="false"/>
                <w:bCs w:val="false"/>
                <w:color w:val="000000"/>
                <w:sz w:val="18"/>
                <w:szCs w:val="18"/>
              </w:rPr>
              <w:t xml:space="preserve">Copied from the Lead at conversion; editable afterward.</w:t>
            </w:r>
          </w:p>
        </w:tc>
        <w:tc>
          <w:tcPr>
            <w:tcW w:type="dxa" w:w="2340"/>
            <w:tcMar>
              <w:top w:type="dxa" w:w="60"/>
              <w:left w:type="dxa" w:w="100"/>
              <w:bottom w:type="dxa" w:w="60"/>
              <w:right w:type="dxa" w:w="100"/>
            </w:tcMar>
            <w:vAlign w:val="center"/>
          </w:tcPr>
          <w:p>
            <w:pPr>
              <w:spacing w:after="0"/>
            </w:pPr>
            <w:r>
              <w:rPr>
                <w:b w:val="false"/>
                <w:bCs w:val="false"/>
                <w:color w:val="000000"/>
                <w:sz w:val="18"/>
                <w:szCs w:val="18"/>
              </w:rPr>
              <w:t xml:space="preserve"/>
            </w:r>
          </w:p>
        </w:tc>
      </w:tr>
      <w:tr>
        <w:tc>
          <w:tcPr>
            <w:tcW w:type="dxa" w:w="20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cargo_type</w:t>
            </w:r>
          </w:p>
        </w:tc>
        <w:tc>
          <w:tcPr>
            <w:tcW w:type="dxa" w:w="15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ENUM</w:t>
            </w:r>
          </w:p>
        </w:tc>
        <w:tc>
          <w:tcPr>
            <w:tcW w:type="dxa" w:w="38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Copied from the Lead at conversion.</w:t>
            </w:r>
          </w:p>
        </w:tc>
        <w:tc>
          <w:tcPr>
            <w:tcW w:type="dxa" w:w="23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
            </w:r>
          </w:p>
        </w:tc>
      </w:tr>
      <w:tr>
        <w:tc>
          <w:tcPr>
            <w:tcW w:type="dxa" w:w="2000"/>
            <w:tcMar>
              <w:top w:type="dxa" w:w="60"/>
              <w:left w:type="dxa" w:w="100"/>
              <w:bottom w:type="dxa" w:w="60"/>
              <w:right w:type="dxa" w:w="100"/>
            </w:tcMar>
            <w:vAlign w:val="center"/>
          </w:tcPr>
          <w:p>
            <w:pPr>
              <w:spacing w:after="0"/>
            </w:pPr>
            <w:r>
              <w:rPr>
                <w:b w:val="false"/>
                <w:bCs w:val="false"/>
                <w:color w:val="000000"/>
                <w:sz w:val="18"/>
                <w:szCs w:val="18"/>
              </w:rPr>
              <w:t xml:space="preserve">incoterm</w:t>
            </w:r>
          </w:p>
        </w:tc>
        <w:tc>
          <w:tcPr>
            <w:tcW w:type="dxa" w:w="1500"/>
            <w:tcMar>
              <w:top w:type="dxa" w:w="60"/>
              <w:left w:type="dxa" w:w="100"/>
              <w:bottom w:type="dxa" w:w="60"/>
              <w:right w:type="dxa" w:w="100"/>
            </w:tcMar>
            <w:vAlign w:val="center"/>
          </w:tcPr>
          <w:p>
            <w:pPr>
              <w:spacing w:after="0"/>
            </w:pPr>
            <w:r>
              <w:rPr>
                <w:b w:val="false"/>
                <w:bCs w:val="false"/>
                <w:color w:val="000000"/>
                <w:sz w:val="18"/>
                <w:szCs w:val="18"/>
              </w:rPr>
              <w:t xml:space="preserve">ENUM</w:t>
            </w:r>
          </w:p>
        </w:tc>
        <w:tc>
          <w:tcPr>
            <w:tcW w:type="dxa" w:w="3800"/>
            <w:tcMar>
              <w:top w:type="dxa" w:w="60"/>
              <w:left w:type="dxa" w:w="100"/>
              <w:bottom w:type="dxa" w:w="60"/>
              <w:right w:type="dxa" w:w="100"/>
            </w:tcMar>
            <w:vAlign w:val="center"/>
          </w:tcPr>
          <w:p>
            <w:pPr>
              <w:spacing w:after="0"/>
            </w:pPr>
            <w:r>
              <w:rPr>
                <w:b w:val="false"/>
                <w:bCs w:val="false"/>
                <w:color w:val="000000"/>
                <w:sz w:val="18"/>
                <w:szCs w:val="18"/>
              </w:rPr>
              <w:t xml:space="preserve">Copied from the Lead at conversion.</w:t>
            </w:r>
          </w:p>
        </w:tc>
        <w:tc>
          <w:tcPr>
            <w:tcW w:type="dxa" w:w="2340"/>
            <w:tcMar>
              <w:top w:type="dxa" w:w="60"/>
              <w:left w:type="dxa" w:w="100"/>
              <w:bottom w:type="dxa" w:w="60"/>
              <w:right w:type="dxa" w:w="100"/>
            </w:tcMar>
            <w:vAlign w:val="center"/>
          </w:tcPr>
          <w:p>
            <w:pPr>
              <w:spacing w:after="0"/>
            </w:pPr>
            <w:r>
              <w:rPr>
                <w:b w:val="false"/>
                <w:bCs w:val="false"/>
                <w:color w:val="000000"/>
                <w:sz w:val="18"/>
                <w:szCs w:val="18"/>
              </w:rPr>
              <w:t xml:space="preserve"/>
            </w:r>
          </w:p>
        </w:tc>
      </w:tr>
      <w:tr>
        <w:tc>
          <w:tcPr>
            <w:tcW w:type="dxa" w:w="20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est_chargeable_weight_kg</w:t>
            </w:r>
          </w:p>
        </w:tc>
        <w:tc>
          <w:tcPr>
            <w:tcW w:type="dxa" w:w="15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DECIMAL(12,2)</w:t>
            </w:r>
          </w:p>
        </w:tc>
        <w:tc>
          <w:tcPr>
            <w:tcW w:type="dxa" w:w="38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Copied from the Lead at conversion.</w:t>
            </w:r>
          </w:p>
        </w:tc>
        <w:tc>
          <w:tcPr>
            <w:tcW w:type="dxa" w:w="23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
            </w:r>
          </w:p>
        </w:tc>
      </w:tr>
      <w:tr>
        <w:tc>
          <w:tcPr>
            <w:tcW w:type="dxa" w:w="2000"/>
            <w:tcMar>
              <w:top w:type="dxa" w:w="60"/>
              <w:left w:type="dxa" w:w="100"/>
              <w:bottom w:type="dxa" w:w="60"/>
              <w:right w:type="dxa" w:w="100"/>
            </w:tcMar>
            <w:vAlign w:val="center"/>
          </w:tcPr>
          <w:p>
            <w:pPr>
              <w:spacing w:after="0"/>
            </w:pPr>
            <w:r>
              <w:rPr>
                <w:b w:val="false"/>
                <w:bCs w:val="false"/>
                <w:color w:val="000000"/>
                <w:sz w:val="18"/>
                <w:szCs w:val="18"/>
              </w:rPr>
              <w:t xml:space="preserve">won_shipment_id</w:t>
            </w:r>
          </w:p>
        </w:tc>
        <w:tc>
          <w:tcPr>
            <w:tcW w:type="dxa" w:w="1500"/>
            <w:tcMar>
              <w:top w:type="dxa" w:w="60"/>
              <w:left w:type="dxa" w:w="100"/>
              <w:bottom w:type="dxa" w:w="60"/>
              <w:right w:type="dxa" w:w="100"/>
            </w:tcMar>
            <w:vAlign w:val="center"/>
          </w:tcPr>
          <w:p>
            <w:pPr>
              <w:spacing w:after="0"/>
            </w:pPr>
            <w:r>
              <w:rPr>
                <w:b w:val="false"/>
                <w:bCs w:val="false"/>
                <w:color w:val="000000"/>
                <w:sz w:val="18"/>
                <w:szCs w:val="18"/>
              </w:rPr>
              <w:t xml:space="preserve">UUID, nullable</w:t>
            </w:r>
          </w:p>
        </w:tc>
        <w:tc>
          <w:tcPr>
            <w:tcW w:type="dxa" w:w="3800"/>
            <w:tcMar>
              <w:top w:type="dxa" w:w="60"/>
              <w:left w:type="dxa" w:w="100"/>
              <w:bottom w:type="dxa" w:w="60"/>
              <w:right w:type="dxa" w:w="100"/>
            </w:tcMar>
            <w:vAlign w:val="center"/>
          </w:tcPr>
          <w:p>
            <w:pPr>
              <w:spacing w:after="0"/>
            </w:pPr>
            <w:r>
              <w:rPr>
                <w:b w:val="false"/>
                <w:bCs w:val="false"/>
                <w:color w:val="000000"/>
                <w:sz w:val="18"/>
                <w:szCs w:val="18"/>
              </w:rPr>
              <w:t xml:space="preserve">First Shipment auto-created when the deal is marked Won (see §5.2).</w:t>
            </w:r>
          </w:p>
        </w:tc>
        <w:tc>
          <w:tcPr>
            <w:tcW w:type="dxa" w:w="2340"/>
            <w:tcMar>
              <w:top w:type="dxa" w:w="60"/>
              <w:left w:type="dxa" w:w="100"/>
              <w:bottom w:type="dxa" w:w="60"/>
              <w:right w:type="dxa" w:w="100"/>
            </w:tcMar>
            <w:vAlign w:val="center"/>
          </w:tcPr>
          <w:p>
            <w:pPr>
              <w:spacing w:after="0"/>
            </w:pPr>
            <w:r>
              <w:rPr>
                <w:b w:val="false"/>
                <w:bCs w:val="false"/>
                <w:color w:val="000000"/>
                <w:sz w:val="18"/>
                <w:szCs w:val="18"/>
              </w:rPr>
              <w:t xml:space="preserve">FK → logi.shipments.shipment_id</w:t>
            </w:r>
          </w:p>
        </w:tc>
      </w:tr>
    </w:tbl>
    <w:p>
      <w:pPr>
        <w:spacing w:after="200"/>
      </w:pPr>
    </w:p>
    <w:p>
      <w:pPr>
        <w:pStyle w:val="Heading2"/>
        <w:spacing w:after="150" w:before="300"/>
      </w:pPr>
      <w:r>
        <w:t xml:space="preserve">2.3 Trigger Logic: The “Convert” Action</w:t>
      </w:r>
    </w:p>
    <w:p>
      <w:pPr>
        <w:spacing w:after="160" w:line="276"/>
      </w:pPr>
      <w:r>
        <w:t xml:space="preserve">Clicking “Convert” on a Qualified lead is a single user-initiated command handled entirely inside the CRM service; it does not touch the ERP/logistics schema at this stage. The command executes as one atomic server-side transaction with the following steps, in order:</w:t>
      </w:r>
    </w:p>
    <w:p>
      <w:pPr>
        <w:pStyle w:val="ListParagraph"/>
        <w:numPr>
          <w:ilvl w:val="0"/>
          <w:numId w:val="3"/>
        </w:numPr>
        <w:spacing w:after="90" w:line="264"/>
      </w:pPr>
      <w:r>
        <w:t xml:space="preserve">Eligibility check — the button is only enabled when Lead.status = ‘Qualified’; the server re-validates status at request time to guard against a stale UI state or a double-click.</w:t>
      </w:r>
    </w:p>
    <w:p>
      <w:pPr>
        <w:pStyle w:val="ListParagraph"/>
        <w:numPr>
          <w:ilvl w:val="0"/>
          <w:numId w:val="3"/>
        </w:numPr>
        <w:spacing w:after="90" w:line="264"/>
      </w:pPr>
      <w:r>
        <w:t xml:space="preserve">Duplicate resolution — the Account table is searched by tax_id (if captured) and a fuzzy match on legal_name/country; if a probable match is found, the UI presents “Link to existing Account” as an alternative to creating a new one, rather than silently creating a duplicate.</w:t>
      </w:r>
    </w:p>
    <w:p>
      <w:pPr>
        <w:pStyle w:val="ListParagraph"/>
        <w:numPr>
          <w:ilvl w:val="0"/>
          <w:numId w:val="3"/>
        </w:numPr>
        <w:spacing w:after="90" w:line="264"/>
      </w:pPr>
      <w:r>
        <w:t xml:space="preserve">Field mapping — the mapping table in §2.4 is applied to build the three new (or linked) records in memory: Account, Contact, Opportunity.</w:t>
      </w:r>
    </w:p>
    <w:p>
      <w:pPr>
        <w:pStyle w:val="ListParagraph"/>
        <w:numPr>
          <w:ilvl w:val="0"/>
          <w:numId w:val="3"/>
        </w:numPr>
        <w:spacing w:after="90" w:line="264"/>
      </w:pPr>
      <w:r>
        <w:t xml:space="preserve">Atomic persistence — all writes (Account insert/update, Contact insert, Opportunity insert, Lead update) execute inside a single database transaction. If any write fails — e.g. a uniqueness constraint on Contact.email — the entire transaction rolls back and the Lead remains Qualified with no partial objects created.</w:t>
      </w:r>
    </w:p>
    <w:p>
      <w:pPr>
        <w:pStyle w:val="ListParagraph"/>
        <w:numPr>
          <w:ilvl w:val="0"/>
          <w:numId w:val="3"/>
        </w:numPr>
        <w:spacing w:after="90" w:line="264"/>
      </w:pPr>
      <w:r>
        <w:t xml:space="preserve">Conversion lock — on commit, Lead.status is set to ‘Converted’ and Lead.converted_at is stamped in the same transaction. The Convert button becomes permanently disabled for that Lead the moment converted_at is non-null, making the operation idempotent — a retried or duplicate request is rejected before it reaches the write path.</w:t>
      </w:r>
    </w:p>
    <w:p>
      <w:pPr>
        <w:pStyle w:val="ListParagraph"/>
        <w:numPr>
          <w:ilvl w:val="0"/>
          <w:numId w:val="3"/>
        </w:numPr>
        <w:spacing w:after="90" w:line="264"/>
      </w:pPr>
      <w:r>
        <w:t xml:space="preserve">Domain event — a LeadConverted event (lead_id, account_id, contact_id, opportunity_id, converted_by, converted_at) is published to the shared event bus after commit, for activity-feed, notification, and audit-log consumers; no consumer can block or fail the conversion itself, since the event fires only after the transaction has already succeeded.</w:t>
      </w:r>
    </w:p>
    <w:p>
      <w:pPr>
        <w:pStyle w:val="ListParagraph"/>
        <w:numPr>
          <w:ilvl w:val="0"/>
          <w:numId w:val="3"/>
        </w:numPr>
        <w:spacing w:after="90" w:line="264"/>
      </w:pPr>
      <w:r>
        <w:t xml:space="preserve">UI redirect — the user is navigated directly to the new Opportunity record with the Account and Contact already linked in its header, so the rep can continue straight into quoting without re-entering data.</w:t>
      </w:r>
    </w:p>
    <w:p>
      <w:pPr>
        <w:pStyle w:val="Heading2"/>
        <w:spacing w:after="150" w:before="300"/>
      </w:pPr>
      <w:r>
        <w:t xml:space="preserve">2.4 Field Mapping: Lead → Account / Contact / Opportunity</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740"/>
      </w:tblGrid>
      <w:tr>
        <w:trPr>
          <w:tblHeader/>
        </w:trPr>
        <w:tc>
          <w:tcPr>
            <w:tcW w:type="dxa" w:w="2600"/>
            <w:shd w:fill="1F3864" w:val="clear"/>
            <w:tcMar>
              <w:top w:type="dxa" w:w="80"/>
              <w:left w:type="dxa" w:w="100"/>
              <w:bottom w:type="dxa" w:w="80"/>
              <w:right w:type="dxa" w:w="100"/>
            </w:tcMar>
            <w:vAlign w:val="center"/>
          </w:tcPr>
          <w:p>
            <w:pPr>
              <w:spacing w:after="0"/>
            </w:pPr>
            <w:r>
              <w:rPr>
                <w:b/>
                <w:bCs/>
                <w:color w:val="FFFFFF"/>
                <w:sz w:val="18"/>
                <w:szCs w:val="18"/>
              </w:rPr>
              <w:t xml:space="preserve">Source (Lead)</w:t>
            </w:r>
          </w:p>
        </w:tc>
        <w:tc>
          <w:tcPr>
            <w:tcW w:type="dxa" w:w="3300"/>
            <w:shd w:fill="1F3864" w:val="clear"/>
            <w:tcMar>
              <w:top w:type="dxa" w:w="80"/>
              <w:left w:type="dxa" w:w="100"/>
              <w:bottom w:type="dxa" w:w="80"/>
              <w:right w:type="dxa" w:w="100"/>
            </w:tcMar>
            <w:vAlign w:val="center"/>
          </w:tcPr>
          <w:p>
            <w:pPr>
              <w:spacing w:after="0"/>
            </w:pPr>
            <w:r>
              <w:rPr>
                <w:b/>
                <w:bCs/>
                <w:color w:val="FFFFFF"/>
                <w:sz w:val="18"/>
                <w:szCs w:val="18"/>
              </w:rPr>
              <w:t xml:space="preserve">Target Object.Field</w:t>
            </w:r>
          </w:p>
        </w:tc>
        <w:tc>
          <w:tcPr>
            <w:tcW w:type="dxa" w:w="3740"/>
            <w:shd w:fill="1F3864" w:val="clear"/>
            <w:tcMar>
              <w:top w:type="dxa" w:w="80"/>
              <w:left w:type="dxa" w:w="100"/>
              <w:bottom w:type="dxa" w:w="80"/>
              <w:right w:type="dxa" w:w="100"/>
            </w:tcMar>
            <w:vAlign w:val="center"/>
          </w:tcPr>
          <w:p>
            <w:pPr>
              <w:spacing w:after="0"/>
            </w:pPr>
            <w:r>
              <w:rPr>
                <w:b/>
                <w:bCs/>
                <w:color w:val="FFFFFF"/>
                <w:sz w:val="18"/>
                <w:szCs w:val="18"/>
              </w:rPr>
              <w:t xml:space="preserve">Mapping Rule</w:t>
            </w:r>
          </w:p>
        </w:tc>
      </w:tr>
      <w:tr>
        <w:tc>
          <w:tcPr>
            <w:tcW w:type="dxa" w:w="2600"/>
            <w:tcMar>
              <w:top w:type="dxa" w:w="60"/>
              <w:left w:type="dxa" w:w="100"/>
              <w:bottom w:type="dxa" w:w="60"/>
              <w:right w:type="dxa" w:w="100"/>
            </w:tcMar>
            <w:vAlign w:val="center"/>
          </w:tcPr>
          <w:p>
            <w:pPr>
              <w:spacing w:after="0"/>
            </w:pPr>
            <w:r>
              <w:rPr>
                <w:b w:val="false"/>
                <w:bCs w:val="false"/>
                <w:color w:val="000000"/>
                <w:sz w:val="18"/>
                <w:szCs w:val="18"/>
              </w:rPr>
              <w:t xml:space="preserve">company_name</w:t>
            </w:r>
          </w:p>
        </w:tc>
        <w:tc>
          <w:tcPr>
            <w:tcW w:type="dxa" w:w="3300"/>
            <w:tcMar>
              <w:top w:type="dxa" w:w="60"/>
              <w:left w:type="dxa" w:w="100"/>
              <w:bottom w:type="dxa" w:w="60"/>
              <w:right w:type="dxa" w:w="100"/>
            </w:tcMar>
            <w:vAlign w:val="center"/>
          </w:tcPr>
          <w:p>
            <w:pPr>
              <w:spacing w:after="0"/>
            </w:pPr>
            <w:r>
              <w:rPr>
                <w:b w:val="false"/>
                <w:bCs w:val="false"/>
                <w:color w:val="000000"/>
                <w:sz w:val="18"/>
                <w:szCs w:val="18"/>
              </w:rPr>
              <w:t xml:space="preserve">Account.legal_name</w:t>
            </w:r>
          </w:p>
        </w:tc>
        <w:tc>
          <w:tcPr>
            <w:tcW w:type="dxa" w:w="3740"/>
            <w:tcMar>
              <w:top w:type="dxa" w:w="60"/>
              <w:left w:type="dxa" w:w="100"/>
              <w:bottom w:type="dxa" w:w="60"/>
              <w:right w:type="dxa" w:w="100"/>
            </w:tcMar>
            <w:vAlign w:val="center"/>
          </w:tcPr>
          <w:p>
            <w:pPr>
              <w:spacing w:after="0"/>
            </w:pPr>
            <w:r>
              <w:rPr>
                <w:b w:val="false"/>
                <w:bCs w:val="false"/>
                <w:color w:val="000000"/>
                <w:sz w:val="18"/>
                <w:szCs w:val="18"/>
              </w:rPr>
              <w:t xml:space="preserve">Direct copy on create; ignored if linking to an existing Account (§2.3 step 2).</w:t>
            </w:r>
          </w:p>
        </w:tc>
      </w:tr>
      <w:tr>
        <w:tc>
          <w:tcPr>
            <w:tcW w:type="dxa" w:w="26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 (fixed default)</w:t>
            </w:r>
          </w:p>
        </w:tc>
        <w:tc>
          <w:tcPr>
            <w:tcW w:type="dxa" w:w="33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Account.account_tier</w:t>
            </w:r>
          </w:p>
        </w:tc>
        <w:tc>
          <w:tcPr>
            <w:tcW w:type="dxa" w:w="37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Defaults to ‘Standard’; not sourced from the Lead.</w:t>
            </w:r>
          </w:p>
        </w:tc>
      </w:tr>
      <w:tr>
        <w:tc>
          <w:tcPr>
            <w:tcW w:type="dxa" w:w="2600"/>
            <w:tcMar>
              <w:top w:type="dxa" w:w="60"/>
              <w:left w:type="dxa" w:w="100"/>
              <w:bottom w:type="dxa" w:w="60"/>
              <w:right w:type="dxa" w:w="100"/>
            </w:tcMar>
            <w:vAlign w:val="center"/>
          </w:tcPr>
          <w:p>
            <w:pPr>
              <w:spacing w:after="0"/>
            </w:pPr>
            <w:r>
              <w:rPr>
                <w:b w:val="false"/>
                <w:bCs w:val="false"/>
                <w:color w:val="000000"/>
                <w:sz w:val="18"/>
                <w:szCs w:val="18"/>
              </w:rPr>
              <w:t xml:space="preserve">currency_code</w:t>
            </w:r>
          </w:p>
        </w:tc>
        <w:tc>
          <w:tcPr>
            <w:tcW w:type="dxa" w:w="3300"/>
            <w:tcMar>
              <w:top w:type="dxa" w:w="60"/>
              <w:left w:type="dxa" w:w="100"/>
              <w:bottom w:type="dxa" w:w="60"/>
              <w:right w:type="dxa" w:w="100"/>
            </w:tcMar>
            <w:vAlign w:val="center"/>
          </w:tcPr>
          <w:p>
            <w:pPr>
              <w:spacing w:after="0"/>
            </w:pPr>
            <w:r>
              <w:rPr>
                <w:b w:val="false"/>
                <w:bCs w:val="false"/>
                <w:color w:val="000000"/>
                <w:sz w:val="18"/>
                <w:szCs w:val="18"/>
              </w:rPr>
              <w:t xml:space="preserve">Account.default_currency</w:t>
            </w:r>
          </w:p>
        </w:tc>
        <w:tc>
          <w:tcPr>
            <w:tcW w:type="dxa" w:w="3740"/>
            <w:tcMar>
              <w:top w:type="dxa" w:w="60"/>
              <w:left w:type="dxa" w:w="100"/>
              <w:bottom w:type="dxa" w:w="60"/>
              <w:right w:type="dxa" w:w="100"/>
            </w:tcMar>
            <w:vAlign w:val="center"/>
          </w:tcPr>
          <w:p>
            <w:pPr>
              <w:spacing w:after="0"/>
            </w:pPr>
            <w:r>
              <w:rPr>
                <w:b w:val="false"/>
                <w:bCs w:val="false"/>
                <w:color w:val="000000"/>
                <w:sz w:val="18"/>
                <w:szCs w:val="18"/>
              </w:rPr>
              <w:t xml:space="preserve">Direct copy; used as the Account’s default billing currency going forward.</w:t>
            </w:r>
          </w:p>
        </w:tc>
      </w:tr>
      <w:tr>
        <w:tc>
          <w:tcPr>
            <w:tcW w:type="dxa" w:w="26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contact_name</w:t>
            </w:r>
          </w:p>
        </w:tc>
        <w:tc>
          <w:tcPr>
            <w:tcW w:type="dxa" w:w="33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Contact.full_name</w:t>
            </w:r>
          </w:p>
        </w:tc>
        <w:tc>
          <w:tcPr>
            <w:tcW w:type="dxa" w:w="37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Direct copy.</w:t>
            </w:r>
          </w:p>
        </w:tc>
      </w:tr>
      <w:tr>
        <w:tc>
          <w:tcPr>
            <w:tcW w:type="dxa" w:w="2600"/>
            <w:tcMar>
              <w:top w:type="dxa" w:w="60"/>
              <w:left w:type="dxa" w:w="100"/>
              <w:bottom w:type="dxa" w:w="60"/>
              <w:right w:type="dxa" w:w="100"/>
            </w:tcMar>
            <w:vAlign w:val="center"/>
          </w:tcPr>
          <w:p>
            <w:pPr>
              <w:spacing w:after="0"/>
            </w:pPr>
            <w:r>
              <w:rPr>
                <w:b w:val="false"/>
                <w:bCs w:val="false"/>
                <w:color w:val="000000"/>
                <w:sz w:val="18"/>
                <w:szCs w:val="18"/>
              </w:rPr>
              <w:t xml:space="preserve">—</w:t>
            </w:r>
          </w:p>
        </w:tc>
        <w:tc>
          <w:tcPr>
            <w:tcW w:type="dxa" w:w="3300"/>
            <w:tcMar>
              <w:top w:type="dxa" w:w="60"/>
              <w:left w:type="dxa" w:w="100"/>
              <w:bottom w:type="dxa" w:w="60"/>
              <w:right w:type="dxa" w:w="100"/>
            </w:tcMar>
            <w:vAlign w:val="center"/>
          </w:tcPr>
          <w:p>
            <w:pPr>
              <w:spacing w:after="0"/>
            </w:pPr>
            <w:r>
              <w:rPr>
                <w:b w:val="false"/>
                <w:bCs w:val="false"/>
                <w:color w:val="000000"/>
                <w:sz w:val="18"/>
                <w:szCs w:val="18"/>
              </w:rPr>
              <w:t xml:space="preserve">Contact.account_id</w:t>
            </w:r>
          </w:p>
        </w:tc>
        <w:tc>
          <w:tcPr>
            <w:tcW w:type="dxa" w:w="3740"/>
            <w:tcMar>
              <w:top w:type="dxa" w:w="60"/>
              <w:left w:type="dxa" w:w="100"/>
              <w:bottom w:type="dxa" w:w="60"/>
              <w:right w:type="dxa" w:w="100"/>
            </w:tcMar>
            <w:vAlign w:val="center"/>
          </w:tcPr>
          <w:p>
            <w:pPr>
              <w:spacing w:after="0"/>
            </w:pPr>
            <w:r>
              <w:rPr>
                <w:b w:val="false"/>
                <w:bCs w:val="false"/>
                <w:color w:val="000000"/>
                <w:sz w:val="18"/>
                <w:szCs w:val="18"/>
              </w:rPr>
              <w:t xml:space="preserve">Set to the Account created/linked in the same transaction.</w:t>
            </w:r>
          </w:p>
        </w:tc>
      </w:tr>
      <w:tr>
        <w:tc>
          <w:tcPr>
            <w:tcW w:type="dxa" w:w="26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 (fixed default)</w:t>
            </w:r>
          </w:p>
        </w:tc>
        <w:tc>
          <w:tcPr>
            <w:tcW w:type="dxa" w:w="33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Contact.is_primary</w:t>
            </w:r>
          </w:p>
        </w:tc>
        <w:tc>
          <w:tcPr>
            <w:tcW w:type="dxa" w:w="37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Set to TRUE — this becomes the Account’s primary point of contact.</w:t>
            </w:r>
          </w:p>
        </w:tc>
      </w:tr>
      <w:tr>
        <w:tc>
          <w:tcPr>
            <w:tcW w:type="dxa" w:w="2600"/>
            <w:tcMar>
              <w:top w:type="dxa" w:w="60"/>
              <w:left w:type="dxa" w:w="100"/>
              <w:bottom w:type="dxa" w:w="60"/>
              <w:right w:type="dxa" w:w="100"/>
            </w:tcMar>
            <w:vAlign w:val="center"/>
          </w:tcPr>
          <w:p>
            <w:pPr>
              <w:spacing w:after="0"/>
            </w:pPr>
            <w:r>
              <w:rPr>
                <w:b w:val="false"/>
                <w:bCs w:val="false"/>
                <w:color w:val="000000"/>
                <w:sz w:val="18"/>
                <w:szCs w:val="18"/>
              </w:rPr>
              <w:t xml:space="preserve">company_name + trade_lane</w:t>
            </w:r>
          </w:p>
        </w:tc>
        <w:tc>
          <w:tcPr>
            <w:tcW w:type="dxa" w:w="3300"/>
            <w:tcMar>
              <w:top w:type="dxa" w:w="60"/>
              <w:left w:type="dxa" w:w="100"/>
              <w:bottom w:type="dxa" w:w="60"/>
              <w:right w:type="dxa" w:w="100"/>
            </w:tcMar>
            <w:vAlign w:val="center"/>
          </w:tcPr>
          <w:p>
            <w:pPr>
              <w:spacing w:after="0"/>
            </w:pPr>
            <w:r>
              <w:rPr>
                <w:b w:val="false"/>
                <w:bCs w:val="false"/>
                <w:color w:val="000000"/>
                <w:sz w:val="18"/>
                <w:szCs w:val="18"/>
              </w:rPr>
              <w:t xml:space="preserve">Opportunity.name</w:t>
            </w:r>
          </w:p>
        </w:tc>
        <w:tc>
          <w:tcPr>
            <w:tcW w:type="dxa" w:w="3740"/>
            <w:tcMar>
              <w:top w:type="dxa" w:w="60"/>
              <w:left w:type="dxa" w:w="100"/>
              <w:bottom w:type="dxa" w:w="60"/>
              <w:right w:type="dxa" w:w="100"/>
            </w:tcMar>
            <w:vAlign w:val="center"/>
          </w:tcPr>
          <w:p>
            <w:pPr>
              <w:spacing w:after="0"/>
            </w:pPr>
            <w:r>
              <w:rPr>
                <w:b w:val="false"/>
                <w:bCs w:val="false"/>
                <w:color w:val="000000"/>
                <w:sz w:val="18"/>
                <w:szCs w:val="18"/>
              </w:rPr>
              <w:t xml:space="preserve">Concatenated to a default deal name, e.g. “Acme Textiles — DOH–FRA”; user-editable post-conversion.</w:t>
            </w:r>
          </w:p>
        </w:tc>
      </w:tr>
      <w:tr>
        <w:tc>
          <w:tcPr>
            <w:tcW w:type="dxa" w:w="26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w:t>
            </w:r>
          </w:p>
        </w:tc>
        <w:tc>
          <w:tcPr>
            <w:tcW w:type="dxa" w:w="33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Opportunity.account_id / primary_contact_id</w:t>
            </w:r>
          </w:p>
        </w:tc>
        <w:tc>
          <w:tcPr>
            <w:tcW w:type="dxa" w:w="37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Set to the Account and Contact created/linked in the same transaction.</w:t>
            </w:r>
          </w:p>
        </w:tc>
      </w:tr>
      <w:tr>
        <w:tc>
          <w:tcPr>
            <w:tcW w:type="dxa" w:w="2600"/>
            <w:tcMar>
              <w:top w:type="dxa" w:w="60"/>
              <w:left w:type="dxa" w:w="100"/>
              <w:bottom w:type="dxa" w:w="60"/>
              <w:right w:type="dxa" w:w="100"/>
            </w:tcMar>
            <w:vAlign w:val="center"/>
          </w:tcPr>
          <w:p>
            <w:pPr>
              <w:spacing w:after="0"/>
            </w:pPr>
            <w:r>
              <w:rPr>
                <w:b w:val="false"/>
                <w:bCs w:val="false"/>
                <w:color w:val="000000"/>
                <w:sz w:val="18"/>
                <w:szCs w:val="18"/>
              </w:rPr>
              <w:t xml:space="preserve">estimated_value / currency_code</w:t>
            </w:r>
          </w:p>
        </w:tc>
        <w:tc>
          <w:tcPr>
            <w:tcW w:type="dxa" w:w="3300"/>
            <w:tcMar>
              <w:top w:type="dxa" w:w="60"/>
              <w:left w:type="dxa" w:w="100"/>
              <w:bottom w:type="dxa" w:w="60"/>
              <w:right w:type="dxa" w:w="100"/>
            </w:tcMar>
            <w:vAlign w:val="center"/>
          </w:tcPr>
          <w:p>
            <w:pPr>
              <w:spacing w:after="0"/>
            </w:pPr>
            <w:r>
              <w:rPr>
                <w:b w:val="false"/>
                <w:bCs w:val="false"/>
                <w:color w:val="000000"/>
                <w:sz w:val="18"/>
                <w:szCs w:val="18"/>
              </w:rPr>
              <w:t xml:space="preserve">Opportunity.pipeline_value / currency_code</w:t>
            </w:r>
          </w:p>
        </w:tc>
        <w:tc>
          <w:tcPr>
            <w:tcW w:type="dxa" w:w="3740"/>
            <w:tcMar>
              <w:top w:type="dxa" w:w="60"/>
              <w:left w:type="dxa" w:w="100"/>
              <w:bottom w:type="dxa" w:w="60"/>
              <w:right w:type="dxa" w:w="100"/>
            </w:tcMar>
            <w:vAlign w:val="center"/>
          </w:tcPr>
          <w:p>
            <w:pPr>
              <w:spacing w:after="0"/>
            </w:pPr>
            <w:r>
              <w:rPr>
                <w:b w:val="false"/>
                <w:bCs w:val="false"/>
                <w:color w:val="000000"/>
                <w:sz w:val="18"/>
                <w:szCs w:val="18"/>
              </w:rPr>
              <w:t xml:space="preserve">Direct copy — the Lead’s rough estimate becomes the deal’s initial pipeline value.</w:t>
            </w:r>
          </w:p>
        </w:tc>
      </w:tr>
      <w:tr>
        <w:tc>
          <w:tcPr>
            <w:tcW w:type="dxa" w:w="26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trade_lane / cargo_type / incoterm / est_chargeable_weight_kg</w:t>
            </w:r>
          </w:p>
        </w:tc>
        <w:tc>
          <w:tcPr>
            <w:tcW w:type="dxa" w:w="33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Opportunity.trade_lane / cargo_type / incoterm / est_chargeable_weight_kg</w:t>
            </w:r>
          </w:p>
        </w:tc>
        <w:tc>
          <w:tcPr>
            <w:tcW w:type="dxa" w:w="37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Direct copy into the freight extension fields (§2.2).</w:t>
            </w:r>
          </w:p>
        </w:tc>
      </w:tr>
      <w:tr>
        <w:tc>
          <w:tcPr>
            <w:tcW w:type="dxa" w:w="2600"/>
            <w:tcMar>
              <w:top w:type="dxa" w:w="60"/>
              <w:left w:type="dxa" w:w="100"/>
              <w:bottom w:type="dxa" w:w="60"/>
              <w:right w:type="dxa" w:w="100"/>
            </w:tcMar>
            <w:vAlign w:val="center"/>
          </w:tcPr>
          <w:p>
            <w:pPr>
              <w:spacing w:after="0"/>
            </w:pPr>
            <w:r>
              <w:rPr>
                <w:b w:val="false"/>
                <w:bCs w:val="false"/>
                <w:color w:val="000000"/>
                <w:sz w:val="18"/>
                <w:szCs w:val="18"/>
              </w:rPr>
              <w:t xml:space="preserve">— (fixed default)</w:t>
            </w:r>
          </w:p>
        </w:tc>
        <w:tc>
          <w:tcPr>
            <w:tcW w:type="dxa" w:w="3300"/>
            <w:tcMar>
              <w:top w:type="dxa" w:w="60"/>
              <w:left w:type="dxa" w:w="100"/>
              <w:bottom w:type="dxa" w:w="60"/>
              <w:right w:type="dxa" w:w="100"/>
            </w:tcMar>
            <w:vAlign w:val="center"/>
          </w:tcPr>
          <w:p>
            <w:pPr>
              <w:spacing w:after="0"/>
            </w:pPr>
            <w:r>
              <w:rPr>
                <w:b w:val="false"/>
                <w:bCs w:val="false"/>
                <w:color w:val="000000"/>
                <w:sz w:val="18"/>
                <w:szCs w:val="18"/>
              </w:rPr>
              <w:t xml:space="preserve">Opportunity.stage</w:t>
            </w:r>
          </w:p>
        </w:tc>
        <w:tc>
          <w:tcPr>
            <w:tcW w:type="dxa" w:w="3740"/>
            <w:tcMar>
              <w:top w:type="dxa" w:w="60"/>
              <w:left w:type="dxa" w:w="100"/>
              <w:bottom w:type="dxa" w:w="60"/>
              <w:right w:type="dxa" w:w="100"/>
            </w:tcMar>
            <w:vAlign w:val="center"/>
          </w:tcPr>
          <w:p>
            <w:pPr>
              <w:spacing w:after="0"/>
            </w:pPr>
            <w:r>
              <w:rPr>
                <w:b w:val="false"/>
                <w:bCs w:val="false"/>
                <w:color w:val="000000"/>
                <w:sz w:val="18"/>
                <w:szCs w:val="18"/>
              </w:rPr>
              <w:t xml:space="preserve">Set to ‘Qualifying’ — conversion starts the deal at the top of the pipeline, it does not pre-win it.</w:t>
            </w:r>
          </w:p>
        </w:tc>
      </w:tr>
      <w:tr>
        <w:tc>
          <w:tcPr>
            <w:tcW w:type="dxa" w:w="26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owner_id</w:t>
            </w:r>
          </w:p>
        </w:tc>
        <w:tc>
          <w:tcPr>
            <w:tcW w:type="dxa" w:w="33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Opportunity.owner_id</w:t>
            </w:r>
          </w:p>
        </w:tc>
        <w:tc>
          <w:tcPr>
            <w:tcW w:type="dxa" w:w="37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Direct copy — the lead owner becomes the deal owner by default.</w:t>
            </w:r>
          </w:p>
        </w:tc>
      </w:tr>
    </w:tbl>
    <w:p>
      <w:pPr>
        <w:spacing w:after="200"/>
      </w:pPr>
    </w:p>
    <w:p>
      <w:pPr>
        <w:pStyle w:val="Heading2"/>
        <w:spacing w:after="150" w:before="300"/>
      </w:pPr>
      <w:r>
        <w:t xml:space="preserve">2.5 Data Persistence Requirements</w:t>
      </w:r>
    </w:p>
    <w:p>
      <w:pPr>
        <w:pStyle w:val="ListParagraph"/>
        <w:numPr>
          <w:ilvl w:val="0"/>
          <w:numId w:val="1"/>
        </w:numPr>
        <w:spacing w:after="90" w:line="264"/>
      </w:pPr>
      <w:r>
        <w:t xml:space="preserve">Transactional scope: the four writes in §2.3 (Account, Contact, Opportunity, Lead) must share one database transaction with SERIALIZABLE or equivalent isolation on the Lead row, so two simultaneous Convert requests on the same Lead cannot both succeed.</w:t>
      </w:r>
    </w:p>
    <w:p>
      <w:pPr>
        <w:pStyle w:val="ListParagraph"/>
        <w:numPr>
          <w:ilvl w:val="0"/>
          <w:numId w:val="1"/>
        </w:numPr>
        <w:spacing w:after="90" w:line="264"/>
      </w:pPr>
      <w:r>
        <w:t xml:space="preserve">Referential integrity: Contact.account_id and Opportunity.account_id / primary_contact_id are foreign keys populated within the same transaction that creates their targets — no eventually-consistent linkage for this hand-off, unlike the CRM→ERP boundary in §5.2, because all three objects live in the same CRM service and schema.</w:t>
      </w:r>
    </w:p>
    <w:p>
      <w:pPr>
        <w:pStyle w:val="ListParagraph"/>
        <w:numPr>
          <w:ilvl w:val="0"/>
          <w:numId w:val="1"/>
        </w:numPr>
        <w:spacing w:after="90" w:line="264"/>
      </w:pPr>
      <w:r>
        <w:t xml:space="preserve">Audit trail: every field copied in §2.4 is written once at conversion time with normal audit columns (created_by, created_at); subsequent edits to the Opportunity do not retroactively change the Lead, which remains a frozen historical record.</w:t>
      </w:r>
    </w:p>
    <w:p>
      <w:pPr>
        <w:pStyle w:val="ListParagraph"/>
        <w:numPr>
          <w:ilvl w:val="0"/>
          <w:numId w:val="1"/>
        </w:numPr>
        <w:spacing w:after="90" w:line="264"/>
      </w:pPr>
      <w:r>
        <w:t xml:space="preserve">Non-destructive Lead retention: the Lead row is never deleted on conversion (is_deleted stays FALSE); it is kept, status = Converted, as the permanent source-of-truth for lead-to-deal conversion-rate reporting.</w:t>
      </w:r>
    </w:p>
    <w:p>
      <w:pPr>
        <w:pStyle w:val="ListParagraph"/>
        <w:numPr>
          <w:ilvl w:val="0"/>
          <w:numId w:val="1"/>
        </w:numPr>
        <w:spacing w:after="90" w:line="264"/>
      </w:pPr>
      <w:r>
        <w:t xml:space="preserve">Rollback safety: if the transaction fails at any step, no LeadConverted event is published — event publication is strictly post-commit, preventing downstream consumers from ever observing a conversion that didn’t actually happen.</w:t>
      </w:r>
    </w:p>
    <w:p>
      <w:r>
        <w:br w:type="page"/>
      </w:r>
    </w:p>
    <w:p>
      <w:pPr>
        <w:pStyle w:val="Heading1"/>
        <w:spacing w:after="200" w:before="400"/>
      </w:pPr>
      <w:r>
        <w:t xml:space="preserve">3. Logistics &amp; Air Freight Data Schema</w:t>
      </w:r>
    </w:p>
    <w:p>
      <w:pPr>
        <w:spacing w:after="160" w:line="276"/>
      </w:pPr>
      <w:r>
        <w:t xml:space="preserve">The logistics domain (logi.*) picks up where the CRM domain leaves off: a Won Opportunity creates the first Shipment (§5.2), and every object below carries the trade lane, cargo characteristics, and account/contact references established during CRM qualification. Field and status terminology follows IATA Cargo-IMP / Cargo-XML and ONE Record conventions so the schema maps directly onto real EDI/API traffic (§6).</w:t>
      </w:r>
    </w:p>
    <w:p>
      <w:pPr>
        <w:pStyle w:val="Heading2"/>
        <w:spacing w:after="150" w:before="300"/>
      </w:pPr>
      <w:r>
        <w:t xml:space="preserve">3.1 Shipment</w:t>
      </w:r>
    </w:p>
    <w:p>
      <w:pPr>
        <w:spacing w:after="160"/>
      </w:pPr>
      <w:r>
        <w:rPr>
          <w:i/>
          <w:iCs/>
          <w:color w:val="595959"/>
        </w:rPr>
        <w:t xml:space="preserve">logi.shipments — the top-level operational record for one air freight movement.</w:t>
      </w:r>
    </w:p>
    <w:p>
      <w:pPr>
        <w:spacing w:after="40" w:before="240"/>
      </w:pPr>
      <w:r>
        <w:rPr>
          <w:b/>
          <w:bCs/>
          <w:sz w:val="22"/>
          <w:szCs w:val="22"/>
        </w:rPr>
        <w:t xml:space="preserve">Shipment</w:t>
      </w:r>
      <w:r>
        <w:rPr>
          <w:i/>
          <w:iCs/>
          <w:color w:val="595959"/>
          <w:sz w:val="18"/>
          <w:szCs w:val="18"/>
        </w:rPr>
        <w:t xml:space="preserve">  logi.shipments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800"/>
        <w:gridCol w:w="2340"/>
      </w:tblGrid>
      <w:tr>
        <w:trPr>
          <w:tblHeader/>
        </w:trPr>
        <w:tc>
          <w:tcPr>
            <w:tcW w:type="dxa" w:w="2000"/>
            <w:shd w:fill="1F3864" w:val="clear"/>
            <w:tcMar>
              <w:top w:type="dxa" w:w="80"/>
              <w:left w:type="dxa" w:w="100"/>
              <w:bottom w:type="dxa" w:w="80"/>
              <w:right w:type="dxa" w:w="100"/>
            </w:tcMar>
            <w:vAlign w:val="center"/>
          </w:tcPr>
          <w:p>
            <w:pPr>
              <w:spacing w:after="0"/>
            </w:pPr>
            <w:r>
              <w:rPr>
                <w:b/>
                <w:bCs/>
                <w:color w:val="FFFFFF"/>
                <w:sz w:val="18"/>
                <w:szCs w:val="18"/>
              </w:rPr>
              <w:t xml:space="preserve">Field</w:t>
            </w:r>
          </w:p>
        </w:tc>
        <w:tc>
          <w:tcPr>
            <w:tcW w:type="dxa" w:w="1500"/>
            <w:shd w:fill="1F3864" w:val="clear"/>
            <w:tcMar>
              <w:top w:type="dxa" w:w="80"/>
              <w:left w:type="dxa" w:w="100"/>
              <w:bottom w:type="dxa" w:w="80"/>
              <w:right w:type="dxa" w:w="100"/>
            </w:tcMar>
            <w:vAlign w:val="center"/>
          </w:tcPr>
          <w:p>
            <w:pPr>
              <w:spacing w:after="0"/>
            </w:pPr>
            <w:r>
              <w:rPr>
                <w:b/>
                <w:bCs/>
                <w:color w:val="FFFFFF"/>
                <w:sz w:val="18"/>
                <w:szCs w:val="18"/>
              </w:rPr>
              <w:t xml:space="preserve">Type</w:t>
            </w:r>
          </w:p>
        </w:tc>
        <w:tc>
          <w:tcPr>
            <w:tcW w:type="dxa" w:w="3800"/>
            <w:shd w:fill="1F3864" w:val="clear"/>
            <w:tcMar>
              <w:top w:type="dxa" w:w="80"/>
              <w:left w:type="dxa" w:w="100"/>
              <w:bottom w:type="dxa" w:w="80"/>
              <w:right w:type="dxa" w:w="100"/>
            </w:tcMar>
            <w:vAlign w:val="center"/>
          </w:tcPr>
          <w:p>
            <w:pPr>
              <w:spacing w:after="0"/>
            </w:pPr>
            <w:r>
              <w:rPr>
                <w:b/>
                <w:bCs/>
                <w:color w:val="FFFFFF"/>
                <w:sz w:val="18"/>
                <w:szCs w:val="18"/>
              </w:rPr>
              <w:t xml:space="preserve">Description</w:t>
            </w:r>
          </w:p>
        </w:tc>
        <w:tc>
          <w:tcPr>
            <w:tcW w:type="dxa" w:w="2340"/>
            <w:shd w:fill="1F3864" w:val="clear"/>
            <w:tcMar>
              <w:top w:type="dxa" w:w="80"/>
              <w:left w:type="dxa" w:w="100"/>
              <w:bottom w:type="dxa" w:w="80"/>
              <w:right w:type="dxa" w:w="100"/>
            </w:tcMar>
            <w:vAlign w:val="center"/>
          </w:tcPr>
          <w:p>
            <w:pPr>
              <w:spacing w:after="0"/>
            </w:pPr>
            <w:r>
              <w:rPr>
                <w:b/>
                <w:bCs/>
                <w:color w:val="FFFFFF"/>
                <w:sz w:val="18"/>
                <w:szCs w:val="18"/>
              </w:rPr>
              <w:t xml:space="preserve">Key / Relationship</w:t>
            </w:r>
          </w:p>
        </w:tc>
      </w:tr>
      <w:tr>
        <w:tc>
          <w:tcPr>
            <w:tcW w:type="dxa" w:w="2000"/>
            <w:tcMar>
              <w:top w:type="dxa" w:w="60"/>
              <w:left w:type="dxa" w:w="100"/>
              <w:bottom w:type="dxa" w:w="60"/>
              <w:right w:type="dxa" w:w="100"/>
            </w:tcMar>
            <w:vAlign w:val="center"/>
          </w:tcPr>
          <w:p>
            <w:pPr>
              <w:spacing w:after="0"/>
            </w:pPr>
            <w:r>
              <w:rPr>
                <w:b w:val="false"/>
                <w:bCs w:val="false"/>
                <w:color w:val="000000"/>
                <w:sz w:val="18"/>
                <w:szCs w:val="18"/>
              </w:rPr>
              <w:t xml:space="preserve">shipment_id</w:t>
            </w:r>
          </w:p>
        </w:tc>
        <w:tc>
          <w:tcPr>
            <w:tcW w:type="dxa" w:w="1500"/>
            <w:tcMar>
              <w:top w:type="dxa" w:w="60"/>
              <w:left w:type="dxa" w:w="100"/>
              <w:bottom w:type="dxa" w:w="60"/>
              <w:right w:type="dxa" w:w="100"/>
            </w:tcMar>
            <w:vAlign w:val="center"/>
          </w:tcPr>
          <w:p>
            <w:pPr>
              <w:spacing w:after="0"/>
            </w:pPr>
            <w:r>
              <w:rPr>
                <w:b w:val="false"/>
                <w:bCs w:val="false"/>
                <w:color w:val="000000"/>
                <w:sz w:val="18"/>
                <w:szCs w:val="18"/>
              </w:rPr>
              <w:t xml:space="preserve">UUID (PK)</w:t>
            </w:r>
          </w:p>
        </w:tc>
        <w:tc>
          <w:tcPr>
            <w:tcW w:type="dxa" w:w="3800"/>
            <w:tcMar>
              <w:top w:type="dxa" w:w="60"/>
              <w:left w:type="dxa" w:w="100"/>
              <w:bottom w:type="dxa" w:w="60"/>
              <w:right w:type="dxa" w:w="100"/>
            </w:tcMar>
            <w:vAlign w:val="center"/>
          </w:tcPr>
          <w:p>
            <w:pPr>
              <w:spacing w:after="0"/>
            </w:pPr>
            <w:r>
              <w:rPr>
                <w:b w:val="false"/>
                <w:bCs w:val="false"/>
                <w:color w:val="000000"/>
                <w:sz w:val="18"/>
                <w:szCs w:val="18"/>
              </w:rPr>
              <w:t xml:space="preserve">Primary key.</w:t>
            </w:r>
          </w:p>
        </w:tc>
        <w:tc>
          <w:tcPr>
            <w:tcW w:type="dxa" w:w="2340"/>
            <w:tcMar>
              <w:top w:type="dxa" w:w="60"/>
              <w:left w:type="dxa" w:w="100"/>
              <w:bottom w:type="dxa" w:w="60"/>
              <w:right w:type="dxa" w:w="100"/>
            </w:tcMar>
            <w:vAlign w:val="center"/>
          </w:tcPr>
          <w:p>
            <w:pPr>
              <w:spacing w:after="0"/>
            </w:pPr>
            <w:r>
              <w:rPr>
                <w:b w:val="false"/>
                <w:bCs w:val="false"/>
                <w:color w:val="000000"/>
                <w:sz w:val="18"/>
                <w:szCs w:val="18"/>
              </w:rPr>
              <w:t xml:space="preserve">PK</w:t>
            </w:r>
          </w:p>
        </w:tc>
      </w:tr>
      <w:tr>
        <w:tc>
          <w:tcPr>
            <w:tcW w:type="dxa" w:w="20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shipment_reference</w:t>
            </w:r>
          </w:p>
        </w:tc>
        <w:tc>
          <w:tcPr>
            <w:tcW w:type="dxa" w:w="15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VARCHAR(20)</w:t>
            </w:r>
          </w:p>
        </w:tc>
        <w:tc>
          <w:tcPr>
            <w:tcW w:type="dxa" w:w="38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Internal forwarder file number.</w:t>
            </w:r>
          </w:p>
        </w:tc>
        <w:tc>
          <w:tcPr>
            <w:tcW w:type="dxa" w:w="23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Unique</w:t>
            </w:r>
          </w:p>
        </w:tc>
      </w:tr>
      <w:tr>
        <w:tc>
          <w:tcPr>
            <w:tcW w:type="dxa" w:w="2000"/>
            <w:tcMar>
              <w:top w:type="dxa" w:w="60"/>
              <w:left w:type="dxa" w:w="100"/>
              <w:bottom w:type="dxa" w:w="60"/>
              <w:right w:type="dxa" w:w="100"/>
            </w:tcMar>
            <w:vAlign w:val="center"/>
          </w:tcPr>
          <w:p>
            <w:pPr>
              <w:spacing w:after="0"/>
            </w:pPr>
            <w:r>
              <w:rPr>
                <w:b w:val="false"/>
                <w:bCs w:val="false"/>
                <w:color w:val="000000"/>
                <w:sz w:val="18"/>
                <w:szCs w:val="18"/>
              </w:rPr>
              <w:t xml:space="preserve">opportunity_id</w:t>
            </w:r>
          </w:p>
        </w:tc>
        <w:tc>
          <w:tcPr>
            <w:tcW w:type="dxa" w:w="1500"/>
            <w:tcMar>
              <w:top w:type="dxa" w:w="60"/>
              <w:left w:type="dxa" w:w="100"/>
              <w:bottom w:type="dxa" w:w="60"/>
              <w:right w:type="dxa" w:w="100"/>
            </w:tcMar>
            <w:vAlign w:val="center"/>
          </w:tcPr>
          <w:p>
            <w:pPr>
              <w:spacing w:after="0"/>
            </w:pPr>
            <w:r>
              <w:rPr>
                <w:b w:val="false"/>
                <w:bCs w:val="false"/>
                <w:color w:val="000000"/>
                <w:sz w:val="18"/>
                <w:szCs w:val="18"/>
              </w:rPr>
              <w:t xml:space="preserve">UUID, nullable</w:t>
            </w:r>
          </w:p>
        </w:tc>
        <w:tc>
          <w:tcPr>
            <w:tcW w:type="dxa" w:w="3800"/>
            <w:tcMar>
              <w:top w:type="dxa" w:w="60"/>
              <w:left w:type="dxa" w:w="100"/>
              <w:bottom w:type="dxa" w:w="60"/>
              <w:right w:type="dxa" w:w="100"/>
            </w:tcMar>
            <w:vAlign w:val="center"/>
          </w:tcPr>
          <w:p>
            <w:pPr>
              <w:spacing w:after="0"/>
            </w:pPr>
            <w:r>
              <w:rPr>
                <w:b w:val="false"/>
                <w:bCs w:val="false"/>
                <w:color w:val="000000"/>
                <w:sz w:val="18"/>
                <w:szCs w:val="18"/>
              </w:rPr>
              <w:t xml:space="preserve">Originating Won deal, if the shipment came through CRM.</w:t>
            </w:r>
          </w:p>
        </w:tc>
        <w:tc>
          <w:tcPr>
            <w:tcW w:type="dxa" w:w="2340"/>
            <w:tcMar>
              <w:top w:type="dxa" w:w="60"/>
              <w:left w:type="dxa" w:w="100"/>
              <w:bottom w:type="dxa" w:w="60"/>
              <w:right w:type="dxa" w:w="100"/>
            </w:tcMar>
            <w:vAlign w:val="center"/>
          </w:tcPr>
          <w:p>
            <w:pPr>
              <w:spacing w:after="0"/>
            </w:pPr>
            <w:r>
              <w:rPr>
                <w:b w:val="false"/>
                <w:bCs w:val="false"/>
                <w:color w:val="000000"/>
                <w:sz w:val="18"/>
                <w:szCs w:val="18"/>
              </w:rPr>
              <w:t xml:space="preserve">FK → crm.opportunities.opportunity_id</w:t>
            </w:r>
          </w:p>
        </w:tc>
      </w:tr>
      <w:tr>
        <w:tc>
          <w:tcPr>
            <w:tcW w:type="dxa" w:w="20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account_id</w:t>
            </w:r>
          </w:p>
        </w:tc>
        <w:tc>
          <w:tcPr>
            <w:tcW w:type="dxa" w:w="15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UUID</w:t>
            </w:r>
          </w:p>
        </w:tc>
        <w:tc>
          <w:tcPr>
            <w:tcW w:type="dxa" w:w="38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Shipper or freight-forwarding client account.</w:t>
            </w:r>
          </w:p>
        </w:tc>
        <w:tc>
          <w:tcPr>
            <w:tcW w:type="dxa" w:w="23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FK → accounts.account_id</w:t>
            </w:r>
          </w:p>
        </w:tc>
      </w:tr>
      <w:tr>
        <w:tc>
          <w:tcPr>
            <w:tcW w:type="dxa" w:w="2000"/>
            <w:tcMar>
              <w:top w:type="dxa" w:w="60"/>
              <w:left w:type="dxa" w:w="100"/>
              <w:bottom w:type="dxa" w:w="60"/>
              <w:right w:type="dxa" w:w="100"/>
            </w:tcMar>
            <w:vAlign w:val="center"/>
          </w:tcPr>
          <w:p>
            <w:pPr>
              <w:spacing w:after="0"/>
            </w:pPr>
            <w:r>
              <w:rPr>
                <w:b w:val="false"/>
                <w:bCs w:val="false"/>
                <w:color w:val="000000"/>
                <w:sz w:val="18"/>
                <w:szCs w:val="18"/>
              </w:rPr>
              <w:t xml:space="preserve">service_type</w:t>
            </w:r>
          </w:p>
        </w:tc>
        <w:tc>
          <w:tcPr>
            <w:tcW w:type="dxa" w:w="1500"/>
            <w:tcMar>
              <w:top w:type="dxa" w:w="60"/>
              <w:left w:type="dxa" w:w="100"/>
              <w:bottom w:type="dxa" w:w="60"/>
              <w:right w:type="dxa" w:w="100"/>
            </w:tcMar>
            <w:vAlign w:val="center"/>
          </w:tcPr>
          <w:p>
            <w:pPr>
              <w:spacing w:after="0"/>
            </w:pPr>
            <w:r>
              <w:rPr>
                <w:b w:val="false"/>
                <w:bCs w:val="false"/>
                <w:color w:val="000000"/>
                <w:sz w:val="18"/>
                <w:szCs w:val="18"/>
              </w:rPr>
              <w:t xml:space="preserve">ENUM</w:t>
            </w:r>
          </w:p>
        </w:tc>
        <w:tc>
          <w:tcPr>
            <w:tcW w:type="dxa" w:w="3800"/>
            <w:tcMar>
              <w:top w:type="dxa" w:w="60"/>
              <w:left w:type="dxa" w:w="100"/>
              <w:bottom w:type="dxa" w:w="60"/>
              <w:right w:type="dxa" w:w="100"/>
            </w:tcMar>
            <w:vAlign w:val="center"/>
          </w:tcPr>
          <w:p>
            <w:pPr>
              <w:spacing w:after="0"/>
            </w:pPr>
            <w:r>
              <w:rPr>
                <w:b w:val="false"/>
                <w:bCs w:val="false"/>
                <w:color w:val="000000"/>
                <w:sz w:val="18"/>
                <w:szCs w:val="18"/>
              </w:rPr>
              <w:t xml:space="preserve">Airport-to-Airport, Door-to-Airport, Airport-to-Door, Door-to-Door.</w:t>
            </w:r>
          </w:p>
        </w:tc>
        <w:tc>
          <w:tcPr>
            <w:tcW w:type="dxa" w:w="2340"/>
            <w:tcMar>
              <w:top w:type="dxa" w:w="60"/>
              <w:left w:type="dxa" w:w="100"/>
              <w:bottom w:type="dxa" w:w="60"/>
              <w:right w:type="dxa" w:w="100"/>
            </w:tcMar>
            <w:vAlign w:val="center"/>
          </w:tcPr>
          <w:p>
            <w:pPr>
              <w:spacing w:after="0"/>
            </w:pPr>
            <w:r>
              <w:rPr>
                <w:b w:val="false"/>
                <w:bCs w:val="false"/>
                <w:color w:val="000000"/>
                <w:sz w:val="18"/>
                <w:szCs w:val="18"/>
              </w:rPr>
              <w:t xml:space="preserve"/>
            </w:r>
          </w:p>
        </w:tc>
      </w:tr>
      <w:tr>
        <w:tc>
          <w:tcPr>
            <w:tcW w:type="dxa" w:w="20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origin_airport</w:t>
            </w:r>
          </w:p>
        </w:tc>
        <w:tc>
          <w:tcPr>
            <w:tcW w:type="dxa" w:w="15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CHAR(3)</w:t>
            </w:r>
          </w:p>
        </w:tc>
        <w:tc>
          <w:tcPr>
            <w:tcW w:type="dxa" w:w="38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IATA origin airport code.</w:t>
            </w:r>
          </w:p>
        </w:tc>
        <w:tc>
          <w:tcPr>
            <w:tcW w:type="dxa" w:w="23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FK → ref.airports.iata_code</w:t>
            </w:r>
          </w:p>
        </w:tc>
      </w:tr>
      <w:tr>
        <w:tc>
          <w:tcPr>
            <w:tcW w:type="dxa" w:w="2000"/>
            <w:tcMar>
              <w:top w:type="dxa" w:w="60"/>
              <w:left w:type="dxa" w:w="100"/>
              <w:bottom w:type="dxa" w:w="60"/>
              <w:right w:type="dxa" w:w="100"/>
            </w:tcMar>
            <w:vAlign w:val="center"/>
          </w:tcPr>
          <w:p>
            <w:pPr>
              <w:spacing w:after="0"/>
            </w:pPr>
            <w:r>
              <w:rPr>
                <w:b w:val="false"/>
                <w:bCs w:val="false"/>
                <w:color w:val="000000"/>
                <w:sz w:val="18"/>
                <w:szCs w:val="18"/>
              </w:rPr>
              <w:t xml:space="preserve">destination_airport</w:t>
            </w:r>
          </w:p>
        </w:tc>
        <w:tc>
          <w:tcPr>
            <w:tcW w:type="dxa" w:w="1500"/>
            <w:tcMar>
              <w:top w:type="dxa" w:w="60"/>
              <w:left w:type="dxa" w:w="100"/>
              <w:bottom w:type="dxa" w:w="60"/>
              <w:right w:type="dxa" w:w="100"/>
            </w:tcMar>
            <w:vAlign w:val="center"/>
          </w:tcPr>
          <w:p>
            <w:pPr>
              <w:spacing w:after="0"/>
            </w:pPr>
            <w:r>
              <w:rPr>
                <w:b w:val="false"/>
                <w:bCs w:val="false"/>
                <w:color w:val="000000"/>
                <w:sz w:val="18"/>
                <w:szCs w:val="18"/>
              </w:rPr>
              <w:t xml:space="preserve">CHAR(3)</w:t>
            </w:r>
          </w:p>
        </w:tc>
        <w:tc>
          <w:tcPr>
            <w:tcW w:type="dxa" w:w="3800"/>
            <w:tcMar>
              <w:top w:type="dxa" w:w="60"/>
              <w:left w:type="dxa" w:w="100"/>
              <w:bottom w:type="dxa" w:w="60"/>
              <w:right w:type="dxa" w:w="100"/>
            </w:tcMar>
            <w:vAlign w:val="center"/>
          </w:tcPr>
          <w:p>
            <w:pPr>
              <w:spacing w:after="0"/>
            </w:pPr>
            <w:r>
              <w:rPr>
                <w:b w:val="false"/>
                <w:bCs w:val="false"/>
                <w:color w:val="000000"/>
                <w:sz w:val="18"/>
                <w:szCs w:val="18"/>
              </w:rPr>
              <w:t xml:space="preserve">IATA destination airport code.</w:t>
            </w:r>
          </w:p>
        </w:tc>
        <w:tc>
          <w:tcPr>
            <w:tcW w:type="dxa" w:w="2340"/>
            <w:tcMar>
              <w:top w:type="dxa" w:w="60"/>
              <w:left w:type="dxa" w:w="100"/>
              <w:bottom w:type="dxa" w:w="60"/>
              <w:right w:type="dxa" w:w="100"/>
            </w:tcMar>
            <w:vAlign w:val="center"/>
          </w:tcPr>
          <w:p>
            <w:pPr>
              <w:spacing w:after="0"/>
            </w:pPr>
            <w:r>
              <w:rPr>
                <w:b w:val="false"/>
                <w:bCs w:val="false"/>
                <w:color w:val="000000"/>
                <w:sz w:val="18"/>
                <w:szCs w:val="18"/>
              </w:rPr>
              <w:t xml:space="preserve">FK → ref.airports.iata_code</w:t>
            </w:r>
          </w:p>
        </w:tc>
      </w:tr>
      <w:tr>
        <w:tc>
          <w:tcPr>
            <w:tcW w:type="dxa" w:w="20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incoterm</w:t>
            </w:r>
          </w:p>
        </w:tc>
        <w:tc>
          <w:tcPr>
            <w:tcW w:type="dxa" w:w="15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ENUM</w:t>
            </w:r>
          </w:p>
        </w:tc>
        <w:tc>
          <w:tcPr>
            <w:tcW w:type="dxa" w:w="38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EXW, FCA, FOB, CPT, CIP, DAP, DPU, DDP.</w:t>
            </w:r>
          </w:p>
        </w:tc>
        <w:tc>
          <w:tcPr>
            <w:tcW w:type="dxa" w:w="23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
            </w:r>
          </w:p>
        </w:tc>
      </w:tr>
      <w:tr>
        <w:tc>
          <w:tcPr>
            <w:tcW w:type="dxa" w:w="2000"/>
            <w:tcMar>
              <w:top w:type="dxa" w:w="60"/>
              <w:left w:type="dxa" w:w="100"/>
              <w:bottom w:type="dxa" w:w="60"/>
              <w:right w:type="dxa" w:w="100"/>
            </w:tcMar>
            <w:vAlign w:val="center"/>
          </w:tcPr>
          <w:p>
            <w:pPr>
              <w:spacing w:after="0"/>
            </w:pPr>
            <w:r>
              <w:rPr>
                <w:b w:val="false"/>
                <w:bCs w:val="false"/>
                <w:color w:val="000000"/>
                <w:sz w:val="18"/>
                <w:szCs w:val="18"/>
              </w:rPr>
              <w:t xml:space="preserve">cargo_type</w:t>
            </w:r>
          </w:p>
        </w:tc>
        <w:tc>
          <w:tcPr>
            <w:tcW w:type="dxa" w:w="1500"/>
            <w:tcMar>
              <w:top w:type="dxa" w:w="60"/>
              <w:left w:type="dxa" w:w="100"/>
              <w:bottom w:type="dxa" w:w="60"/>
              <w:right w:type="dxa" w:w="100"/>
            </w:tcMar>
            <w:vAlign w:val="center"/>
          </w:tcPr>
          <w:p>
            <w:pPr>
              <w:spacing w:after="0"/>
            </w:pPr>
            <w:r>
              <w:rPr>
                <w:b w:val="false"/>
                <w:bCs w:val="false"/>
                <w:color w:val="000000"/>
                <w:sz w:val="18"/>
                <w:szCs w:val="18"/>
              </w:rPr>
              <w:t xml:space="preserve">ENUM</w:t>
            </w:r>
          </w:p>
        </w:tc>
        <w:tc>
          <w:tcPr>
            <w:tcW w:type="dxa" w:w="3800"/>
            <w:tcMar>
              <w:top w:type="dxa" w:w="60"/>
              <w:left w:type="dxa" w:w="100"/>
              <w:bottom w:type="dxa" w:w="60"/>
              <w:right w:type="dxa" w:w="100"/>
            </w:tcMar>
            <w:vAlign w:val="center"/>
          </w:tcPr>
          <w:p>
            <w:pPr>
              <w:spacing w:after="0"/>
            </w:pPr>
            <w:r>
              <w:rPr>
                <w:b w:val="false"/>
                <w:bCs w:val="false"/>
                <w:color w:val="000000"/>
                <w:sz w:val="18"/>
                <w:szCs w:val="18"/>
              </w:rPr>
              <w:t xml:space="preserve">General, Perishable (PER), Dangerous Goods (DGR), Live Animals (AVI), Pharma (PIL/COL), Valuable (VAL), Human Remains (HUM).</w:t>
            </w:r>
          </w:p>
        </w:tc>
        <w:tc>
          <w:tcPr>
            <w:tcW w:type="dxa" w:w="2340"/>
            <w:tcMar>
              <w:top w:type="dxa" w:w="60"/>
              <w:left w:type="dxa" w:w="100"/>
              <w:bottom w:type="dxa" w:w="60"/>
              <w:right w:type="dxa" w:w="100"/>
            </w:tcMar>
            <w:vAlign w:val="center"/>
          </w:tcPr>
          <w:p>
            <w:pPr>
              <w:spacing w:after="0"/>
            </w:pPr>
            <w:r>
              <w:rPr>
                <w:b w:val="false"/>
                <w:bCs w:val="false"/>
                <w:color w:val="000000"/>
                <w:sz w:val="18"/>
                <w:szCs w:val="18"/>
              </w:rPr>
              <w:t xml:space="preserve"/>
            </w:r>
          </w:p>
        </w:tc>
      </w:tr>
      <w:tr>
        <w:tc>
          <w:tcPr>
            <w:tcW w:type="dxa" w:w="20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special_handling_codes</w:t>
            </w:r>
          </w:p>
        </w:tc>
        <w:tc>
          <w:tcPr>
            <w:tcW w:type="dxa" w:w="15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ARRAY(VARCHAR)</w:t>
            </w:r>
          </w:p>
        </w:tc>
        <w:tc>
          <w:tcPr>
            <w:tcW w:type="dxa" w:w="38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IATA special handling codes, e.g. PER, DGR, AVI, VAL, HEA, ELI.</w:t>
            </w:r>
          </w:p>
        </w:tc>
        <w:tc>
          <w:tcPr>
            <w:tcW w:type="dxa" w:w="23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
            </w:r>
          </w:p>
        </w:tc>
      </w:tr>
      <w:tr>
        <w:tc>
          <w:tcPr>
            <w:tcW w:type="dxa" w:w="2000"/>
            <w:tcMar>
              <w:top w:type="dxa" w:w="60"/>
              <w:left w:type="dxa" w:w="100"/>
              <w:bottom w:type="dxa" w:w="60"/>
              <w:right w:type="dxa" w:w="100"/>
            </w:tcMar>
            <w:vAlign w:val="center"/>
          </w:tcPr>
          <w:p>
            <w:pPr>
              <w:spacing w:after="0"/>
            </w:pPr>
            <w:r>
              <w:rPr>
                <w:b w:val="false"/>
                <w:bCs w:val="false"/>
                <w:color w:val="000000"/>
                <w:sz w:val="18"/>
                <w:szCs w:val="18"/>
              </w:rPr>
              <w:t xml:space="preserve">pieces</w:t>
            </w:r>
          </w:p>
        </w:tc>
        <w:tc>
          <w:tcPr>
            <w:tcW w:type="dxa" w:w="1500"/>
            <w:tcMar>
              <w:top w:type="dxa" w:w="60"/>
              <w:left w:type="dxa" w:w="100"/>
              <w:bottom w:type="dxa" w:w="60"/>
              <w:right w:type="dxa" w:w="100"/>
            </w:tcMar>
            <w:vAlign w:val="center"/>
          </w:tcPr>
          <w:p>
            <w:pPr>
              <w:spacing w:after="0"/>
            </w:pPr>
            <w:r>
              <w:rPr>
                <w:b w:val="false"/>
                <w:bCs w:val="false"/>
                <w:color w:val="000000"/>
                <w:sz w:val="18"/>
                <w:szCs w:val="18"/>
              </w:rPr>
              <w:t xml:space="preserve">INTEGER</w:t>
            </w:r>
          </w:p>
        </w:tc>
        <w:tc>
          <w:tcPr>
            <w:tcW w:type="dxa" w:w="3800"/>
            <w:tcMar>
              <w:top w:type="dxa" w:w="60"/>
              <w:left w:type="dxa" w:w="100"/>
              <w:bottom w:type="dxa" w:w="60"/>
              <w:right w:type="dxa" w:w="100"/>
            </w:tcMar>
            <w:vAlign w:val="center"/>
          </w:tcPr>
          <w:p>
            <w:pPr>
              <w:spacing w:after="0"/>
            </w:pPr>
            <w:r>
              <w:rPr>
                <w:b w:val="false"/>
                <w:bCs w:val="false"/>
                <w:color w:val="000000"/>
                <w:sz w:val="18"/>
                <w:szCs w:val="18"/>
              </w:rPr>
              <w:t xml:space="preserve">Total piece count.</w:t>
            </w:r>
          </w:p>
        </w:tc>
        <w:tc>
          <w:tcPr>
            <w:tcW w:type="dxa" w:w="2340"/>
            <w:tcMar>
              <w:top w:type="dxa" w:w="60"/>
              <w:left w:type="dxa" w:w="100"/>
              <w:bottom w:type="dxa" w:w="60"/>
              <w:right w:type="dxa" w:w="100"/>
            </w:tcMar>
            <w:vAlign w:val="center"/>
          </w:tcPr>
          <w:p>
            <w:pPr>
              <w:spacing w:after="0"/>
            </w:pPr>
            <w:r>
              <w:rPr>
                <w:b w:val="false"/>
                <w:bCs w:val="false"/>
                <w:color w:val="000000"/>
                <w:sz w:val="18"/>
                <w:szCs w:val="18"/>
              </w:rPr>
              <w:t xml:space="preserve"/>
            </w:r>
          </w:p>
        </w:tc>
      </w:tr>
      <w:tr>
        <w:tc>
          <w:tcPr>
            <w:tcW w:type="dxa" w:w="20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gross_weight_kg</w:t>
            </w:r>
          </w:p>
        </w:tc>
        <w:tc>
          <w:tcPr>
            <w:tcW w:type="dxa" w:w="15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DECIMAL(12,3)</w:t>
            </w:r>
          </w:p>
        </w:tc>
        <w:tc>
          <w:tcPr>
            <w:tcW w:type="dxa" w:w="38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Actual gross weight.</w:t>
            </w:r>
          </w:p>
        </w:tc>
        <w:tc>
          <w:tcPr>
            <w:tcW w:type="dxa" w:w="23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
            </w:r>
          </w:p>
        </w:tc>
      </w:tr>
      <w:tr>
        <w:tc>
          <w:tcPr>
            <w:tcW w:type="dxa" w:w="2000"/>
            <w:tcMar>
              <w:top w:type="dxa" w:w="60"/>
              <w:left w:type="dxa" w:w="100"/>
              <w:bottom w:type="dxa" w:w="60"/>
              <w:right w:type="dxa" w:w="100"/>
            </w:tcMar>
            <w:vAlign w:val="center"/>
          </w:tcPr>
          <w:p>
            <w:pPr>
              <w:spacing w:after="0"/>
            </w:pPr>
            <w:r>
              <w:rPr>
                <w:b w:val="false"/>
                <w:bCs w:val="false"/>
                <w:color w:val="000000"/>
                <w:sz w:val="18"/>
                <w:szCs w:val="18"/>
              </w:rPr>
              <w:t xml:space="preserve">volume_cbm</w:t>
            </w:r>
          </w:p>
        </w:tc>
        <w:tc>
          <w:tcPr>
            <w:tcW w:type="dxa" w:w="1500"/>
            <w:tcMar>
              <w:top w:type="dxa" w:w="60"/>
              <w:left w:type="dxa" w:w="100"/>
              <w:bottom w:type="dxa" w:w="60"/>
              <w:right w:type="dxa" w:w="100"/>
            </w:tcMar>
            <w:vAlign w:val="center"/>
          </w:tcPr>
          <w:p>
            <w:pPr>
              <w:spacing w:after="0"/>
            </w:pPr>
            <w:r>
              <w:rPr>
                <w:b w:val="false"/>
                <w:bCs w:val="false"/>
                <w:color w:val="000000"/>
                <w:sz w:val="18"/>
                <w:szCs w:val="18"/>
              </w:rPr>
              <w:t xml:space="preserve">DECIMAL(12,3)</w:t>
            </w:r>
          </w:p>
        </w:tc>
        <w:tc>
          <w:tcPr>
            <w:tcW w:type="dxa" w:w="3800"/>
            <w:tcMar>
              <w:top w:type="dxa" w:w="60"/>
              <w:left w:type="dxa" w:w="100"/>
              <w:bottom w:type="dxa" w:w="60"/>
              <w:right w:type="dxa" w:w="100"/>
            </w:tcMar>
            <w:vAlign w:val="center"/>
          </w:tcPr>
          <w:p>
            <w:pPr>
              <w:spacing w:after="0"/>
            </w:pPr>
            <w:r>
              <w:rPr>
                <w:b w:val="false"/>
                <w:bCs w:val="false"/>
                <w:color w:val="000000"/>
                <w:sz w:val="18"/>
                <w:szCs w:val="18"/>
              </w:rPr>
              <w:t xml:space="preserve">Total volume.</w:t>
            </w:r>
          </w:p>
        </w:tc>
        <w:tc>
          <w:tcPr>
            <w:tcW w:type="dxa" w:w="2340"/>
            <w:tcMar>
              <w:top w:type="dxa" w:w="60"/>
              <w:left w:type="dxa" w:w="100"/>
              <w:bottom w:type="dxa" w:w="60"/>
              <w:right w:type="dxa" w:w="100"/>
            </w:tcMar>
            <w:vAlign w:val="center"/>
          </w:tcPr>
          <w:p>
            <w:pPr>
              <w:spacing w:after="0"/>
            </w:pPr>
            <w:r>
              <w:rPr>
                <w:b w:val="false"/>
                <w:bCs w:val="false"/>
                <w:color w:val="000000"/>
                <w:sz w:val="18"/>
                <w:szCs w:val="18"/>
              </w:rPr>
              <w:t xml:space="preserve"/>
            </w:r>
          </w:p>
        </w:tc>
      </w:tr>
      <w:tr>
        <w:tc>
          <w:tcPr>
            <w:tcW w:type="dxa" w:w="20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chargeable_weight_kg</w:t>
            </w:r>
          </w:p>
        </w:tc>
        <w:tc>
          <w:tcPr>
            <w:tcW w:type="dxa" w:w="15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DECIMAL(12,3)</w:t>
            </w:r>
          </w:p>
        </w:tc>
        <w:tc>
          <w:tcPr>
            <w:tcW w:type="dxa" w:w="38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Greater of gross and volumetric weight; basis for rating.</w:t>
            </w:r>
          </w:p>
        </w:tc>
        <w:tc>
          <w:tcPr>
            <w:tcW w:type="dxa" w:w="23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Derived</w:t>
            </w:r>
          </w:p>
        </w:tc>
      </w:tr>
      <w:tr>
        <w:tc>
          <w:tcPr>
            <w:tcW w:type="dxa" w:w="2000"/>
            <w:tcMar>
              <w:top w:type="dxa" w:w="60"/>
              <w:left w:type="dxa" w:w="100"/>
              <w:bottom w:type="dxa" w:w="60"/>
              <w:right w:type="dxa" w:w="100"/>
            </w:tcMar>
            <w:vAlign w:val="center"/>
          </w:tcPr>
          <w:p>
            <w:pPr>
              <w:spacing w:after="0"/>
            </w:pPr>
            <w:r>
              <w:rPr>
                <w:b w:val="false"/>
                <w:bCs w:val="false"/>
                <w:color w:val="000000"/>
                <w:sz w:val="18"/>
                <w:szCs w:val="18"/>
              </w:rPr>
              <w:t xml:space="preserve">mawb_id</w:t>
            </w:r>
          </w:p>
        </w:tc>
        <w:tc>
          <w:tcPr>
            <w:tcW w:type="dxa" w:w="1500"/>
            <w:tcMar>
              <w:top w:type="dxa" w:w="60"/>
              <w:left w:type="dxa" w:w="100"/>
              <w:bottom w:type="dxa" w:w="60"/>
              <w:right w:type="dxa" w:w="100"/>
            </w:tcMar>
            <w:vAlign w:val="center"/>
          </w:tcPr>
          <w:p>
            <w:pPr>
              <w:spacing w:after="0"/>
            </w:pPr>
            <w:r>
              <w:rPr>
                <w:b w:val="false"/>
                <w:bCs w:val="false"/>
                <w:color w:val="000000"/>
                <w:sz w:val="18"/>
                <w:szCs w:val="18"/>
              </w:rPr>
              <w:t xml:space="preserve">UUID, nullable</w:t>
            </w:r>
          </w:p>
        </w:tc>
        <w:tc>
          <w:tcPr>
            <w:tcW w:type="dxa" w:w="3800"/>
            <w:tcMar>
              <w:top w:type="dxa" w:w="60"/>
              <w:left w:type="dxa" w:w="100"/>
              <w:bottom w:type="dxa" w:w="60"/>
              <w:right w:type="dxa" w:w="100"/>
            </w:tcMar>
            <w:vAlign w:val="center"/>
          </w:tcPr>
          <w:p>
            <w:pPr>
              <w:spacing w:after="0"/>
            </w:pPr>
            <w:r>
              <w:rPr>
                <w:b w:val="false"/>
                <w:bCs w:val="false"/>
                <w:color w:val="000000"/>
                <w:sz w:val="18"/>
                <w:szCs w:val="18"/>
              </w:rPr>
              <w:t xml:space="preserve">Governing Master Air Waybill once issued.</w:t>
            </w:r>
          </w:p>
        </w:tc>
        <w:tc>
          <w:tcPr>
            <w:tcW w:type="dxa" w:w="2340"/>
            <w:tcMar>
              <w:top w:type="dxa" w:w="60"/>
              <w:left w:type="dxa" w:w="100"/>
              <w:bottom w:type="dxa" w:w="60"/>
              <w:right w:type="dxa" w:w="100"/>
            </w:tcMar>
            <w:vAlign w:val="center"/>
          </w:tcPr>
          <w:p>
            <w:pPr>
              <w:spacing w:after="0"/>
            </w:pPr>
            <w:r>
              <w:rPr>
                <w:b w:val="false"/>
                <w:bCs w:val="false"/>
                <w:color w:val="000000"/>
                <w:sz w:val="18"/>
                <w:szCs w:val="18"/>
              </w:rPr>
              <w:t xml:space="preserve">FK → logi.air_waybills.awb_id</w:t>
            </w:r>
          </w:p>
        </w:tc>
      </w:tr>
      <w:tr>
        <w:tc>
          <w:tcPr>
            <w:tcW w:type="dxa" w:w="20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status</w:t>
            </w:r>
          </w:p>
        </w:tc>
        <w:tc>
          <w:tcPr>
            <w:tcW w:type="dxa" w:w="15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ENUM</w:t>
            </w:r>
          </w:p>
        </w:tc>
        <w:tc>
          <w:tcPr>
            <w:tcW w:type="dxa" w:w="38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Booked, Documentation, Ready for Carriage, In Transit, Customs Hold, Delivered, POD Confirmed, Closed, Exception.</w:t>
            </w:r>
          </w:p>
        </w:tc>
        <w:tc>
          <w:tcPr>
            <w:tcW w:type="dxa" w:w="23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
            </w:r>
          </w:p>
        </w:tc>
      </w:tr>
      <w:tr>
        <w:tc>
          <w:tcPr>
            <w:tcW w:type="dxa" w:w="2000"/>
            <w:tcMar>
              <w:top w:type="dxa" w:w="60"/>
              <w:left w:type="dxa" w:w="100"/>
              <w:bottom w:type="dxa" w:w="60"/>
              <w:right w:type="dxa" w:w="100"/>
            </w:tcMar>
            <w:vAlign w:val="center"/>
          </w:tcPr>
          <w:p>
            <w:pPr>
              <w:spacing w:after="0"/>
            </w:pPr>
            <w:r>
              <w:rPr>
                <w:b w:val="false"/>
                <w:bCs w:val="false"/>
                <w:color w:val="000000"/>
                <w:sz w:val="18"/>
                <w:szCs w:val="18"/>
              </w:rPr>
              <w:t xml:space="preserve">current_milestone_code</w:t>
            </w:r>
          </w:p>
        </w:tc>
        <w:tc>
          <w:tcPr>
            <w:tcW w:type="dxa" w:w="1500"/>
            <w:tcMar>
              <w:top w:type="dxa" w:w="60"/>
              <w:left w:type="dxa" w:w="100"/>
              <w:bottom w:type="dxa" w:w="60"/>
              <w:right w:type="dxa" w:w="100"/>
            </w:tcMar>
            <w:vAlign w:val="center"/>
          </w:tcPr>
          <w:p>
            <w:pPr>
              <w:spacing w:after="0"/>
            </w:pPr>
            <w:r>
              <w:rPr>
                <w:b w:val="false"/>
                <w:bCs w:val="false"/>
                <w:color w:val="000000"/>
                <w:sz w:val="18"/>
                <w:szCs w:val="18"/>
              </w:rPr>
              <w:t xml:space="preserve">CHAR(3)</w:t>
            </w:r>
          </w:p>
        </w:tc>
        <w:tc>
          <w:tcPr>
            <w:tcW w:type="dxa" w:w="3800"/>
            <w:tcMar>
              <w:top w:type="dxa" w:w="60"/>
              <w:left w:type="dxa" w:w="100"/>
              <w:bottom w:type="dxa" w:w="60"/>
              <w:right w:type="dxa" w:w="100"/>
            </w:tcMar>
            <w:vAlign w:val="center"/>
          </w:tcPr>
          <w:p>
            <w:pPr>
              <w:spacing w:after="0"/>
            </w:pPr>
            <w:r>
              <w:rPr>
                <w:b w:val="false"/>
                <w:bCs w:val="false"/>
                <w:color w:val="000000"/>
                <w:sz w:val="18"/>
                <w:szCs w:val="18"/>
              </w:rPr>
              <w:t xml:space="preserve">Latest FSU status code applied to this shipment (see §3.6).</w:t>
            </w:r>
          </w:p>
        </w:tc>
        <w:tc>
          <w:tcPr>
            <w:tcW w:type="dxa" w:w="2340"/>
            <w:tcMar>
              <w:top w:type="dxa" w:w="60"/>
              <w:left w:type="dxa" w:w="100"/>
              <w:bottom w:type="dxa" w:w="60"/>
              <w:right w:type="dxa" w:w="100"/>
            </w:tcMar>
            <w:vAlign w:val="center"/>
          </w:tcPr>
          <w:p>
            <w:pPr>
              <w:spacing w:after="0"/>
            </w:pPr>
            <w:r>
              <w:rPr>
                <w:b w:val="false"/>
                <w:bCs w:val="false"/>
                <w:color w:val="000000"/>
                <w:sz w:val="18"/>
                <w:szCs w:val="18"/>
              </w:rPr>
              <w:t xml:space="preserve">Denormalized from logi.tracking_events</w:t>
            </w:r>
          </w:p>
        </w:tc>
      </w:tr>
      <w:tr>
        <w:tc>
          <w:tcPr>
            <w:tcW w:type="dxa" w:w="20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pod_signed_at</w:t>
            </w:r>
          </w:p>
        </w:tc>
        <w:tc>
          <w:tcPr>
            <w:tcW w:type="dxa" w:w="15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TIMESTAMP, nullable</w:t>
            </w:r>
          </w:p>
        </w:tc>
        <w:tc>
          <w:tcPr>
            <w:tcW w:type="dxa" w:w="38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Proof-of-delivery timestamp.</w:t>
            </w:r>
          </w:p>
        </w:tc>
        <w:tc>
          <w:tcPr>
            <w:tcW w:type="dxa" w:w="23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
            </w:r>
          </w:p>
        </w:tc>
      </w:tr>
    </w:tbl>
    <w:p>
      <w:pPr>
        <w:spacing w:after="200"/>
      </w:pPr>
    </w:p>
    <w:p>
      <w:pPr>
        <w:pStyle w:val="Heading2"/>
        <w:spacing w:after="150" w:before="300"/>
      </w:pPr>
      <w:r>
        <w:t xml:space="preserve">3.2 Booking Request</w:t>
      </w:r>
    </w:p>
    <w:p>
      <w:pPr>
        <w:spacing w:after="160"/>
      </w:pPr>
      <w:r>
        <w:rPr>
          <w:i/>
          <w:iCs/>
          <w:color w:val="595959"/>
        </w:rPr>
        <w:t xml:space="preserve">logi.booking_requests — the space-allocation request to a carrier for a Shipment.</w:t>
      </w:r>
    </w:p>
    <w:p>
      <w:pPr>
        <w:spacing w:after="40" w:before="240"/>
      </w:pPr>
      <w:r>
        <w:rPr>
          <w:b/>
          <w:bCs/>
          <w:sz w:val="22"/>
          <w:szCs w:val="22"/>
        </w:rPr>
        <w:t xml:space="preserve">Booking Request</w:t>
      </w:r>
      <w:r>
        <w:rPr>
          <w:i/>
          <w:iCs/>
          <w:color w:val="595959"/>
          <w:sz w:val="18"/>
          <w:szCs w:val="18"/>
        </w:rPr>
        <w:t xml:space="preserve">  logi.booking_requests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800"/>
        <w:gridCol w:w="2340"/>
      </w:tblGrid>
      <w:tr>
        <w:trPr>
          <w:tblHeader/>
        </w:trPr>
        <w:tc>
          <w:tcPr>
            <w:tcW w:type="dxa" w:w="2000"/>
            <w:shd w:fill="1F3864" w:val="clear"/>
            <w:tcMar>
              <w:top w:type="dxa" w:w="80"/>
              <w:left w:type="dxa" w:w="100"/>
              <w:bottom w:type="dxa" w:w="80"/>
              <w:right w:type="dxa" w:w="100"/>
            </w:tcMar>
            <w:vAlign w:val="center"/>
          </w:tcPr>
          <w:p>
            <w:pPr>
              <w:spacing w:after="0"/>
            </w:pPr>
            <w:r>
              <w:rPr>
                <w:b/>
                <w:bCs/>
                <w:color w:val="FFFFFF"/>
                <w:sz w:val="18"/>
                <w:szCs w:val="18"/>
              </w:rPr>
              <w:t xml:space="preserve">Field</w:t>
            </w:r>
          </w:p>
        </w:tc>
        <w:tc>
          <w:tcPr>
            <w:tcW w:type="dxa" w:w="1500"/>
            <w:shd w:fill="1F3864" w:val="clear"/>
            <w:tcMar>
              <w:top w:type="dxa" w:w="80"/>
              <w:left w:type="dxa" w:w="100"/>
              <w:bottom w:type="dxa" w:w="80"/>
              <w:right w:type="dxa" w:w="100"/>
            </w:tcMar>
            <w:vAlign w:val="center"/>
          </w:tcPr>
          <w:p>
            <w:pPr>
              <w:spacing w:after="0"/>
            </w:pPr>
            <w:r>
              <w:rPr>
                <w:b/>
                <w:bCs/>
                <w:color w:val="FFFFFF"/>
                <w:sz w:val="18"/>
                <w:szCs w:val="18"/>
              </w:rPr>
              <w:t xml:space="preserve">Type</w:t>
            </w:r>
          </w:p>
        </w:tc>
        <w:tc>
          <w:tcPr>
            <w:tcW w:type="dxa" w:w="3800"/>
            <w:shd w:fill="1F3864" w:val="clear"/>
            <w:tcMar>
              <w:top w:type="dxa" w:w="80"/>
              <w:left w:type="dxa" w:w="100"/>
              <w:bottom w:type="dxa" w:w="80"/>
              <w:right w:type="dxa" w:w="100"/>
            </w:tcMar>
            <w:vAlign w:val="center"/>
          </w:tcPr>
          <w:p>
            <w:pPr>
              <w:spacing w:after="0"/>
            </w:pPr>
            <w:r>
              <w:rPr>
                <w:b/>
                <w:bCs/>
                <w:color w:val="FFFFFF"/>
                <w:sz w:val="18"/>
                <w:szCs w:val="18"/>
              </w:rPr>
              <w:t xml:space="preserve">Description</w:t>
            </w:r>
          </w:p>
        </w:tc>
        <w:tc>
          <w:tcPr>
            <w:tcW w:type="dxa" w:w="2340"/>
            <w:shd w:fill="1F3864" w:val="clear"/>
            <w:tcMar>
              <w:top w:type="dxa" w:w="80"/>
              <w:left w:type="dxa" w:w="100"/>
              <w:bottom w:type="dxa" w:w="80"/>
              <w:right w:type="dxa" w:w="100"/>
            </w:tcMar>
            <w:vAlign w:val="center"/>
          </w:tcPr>
          <w:p>
            <w:pPr>
              <w:spacing w:after="0"/>
            </w:pPr>
            <w:r>
              <w:rPr>
                <w:b/>
                <w:bCs/>
                <w:color w:val="FFFFFF"/>
                <w:sz w:val="18"/>
                <w:szCs w:val="18"/>
              </w:rPr>
              <w:t xml:space="preserve">Key / Relationship</w:t>
            </w:r>
          </w:p>
        </w:tc>
      </w:tr>
      <w:tr>
        <w:tc>
          <w:tcPr>
            <w:tcW w:type="dxa" w:w="2000"/>
            <w:tcMar>
              <w:top w:type="dxa" w:w="60"/>
              <w:left w:type="dxa" w:w="100"/>
              <w:bottom w:type="dxa" w:w="60"/>
              <w:right w:type="dxa" w:w="100"/>
            </w:tcMar>
            <w:vAlign w:val="center"/>
          </w:tcPr>
          <w:p>
            <w:pPr>
              <w:spacing w:after="0"/>
            </w:pPr>
            <w:r>
              <w:rPr>
                <w:b w:val="false"/>
                <w:bCs w:val="false"/>
                <w:color w:val="000000"/>
                <w:sz w:val="18"/>
                <w:szCs w:val="18"/>
              </w:rPr>
              <w:t xml:space="preserve">booking_request_id</w:t>
            </w:r>
          </w:p>
        </w:tc>
        <w:tc>
          <w:tcPr>
            <w:tcW w:type="dxa" w:w="1500"/>
            <w:tcMar>
              <w:top w:type="dxa" w:w="60"/>
              <w:left w:type="dxa" w:w="100"/>
              <w:bottom w:type="dxa" w:w="60"/>
              <w:right w:type="dxa" w:w="100"/>
            </w:tcMar>
            <w:vAlign w:val="center"/>
          </w:tcPr>
          <w:p>
            <w:pPr>
              <w:spacing w:after="0"/>
            </w:pPr>
            <w:r>
              <w:rPr>
                <w:b w:val="false"/>
                <w:bCs w:val="false"/>
                <w:color w:val="000000"/>
                <w:sz w:val="18"/>
                <w:szCs w:val="18"/>
              </w:rPr>
              <w:t xml:space="preserve">UUID (PK)</w:t>
            </w:r>
          </w:p>
        </w:tc>
        <w:tc>
          <w:tcPr>
            <w:tcW w:type="dxa" w:w="3800"/>
            <w:tcMar>
              <w:top w:type="dxa" w:w="60"/>
              <w:left w:type="dxa" w:w="100"/>
              <w:bottom w:type="dxa" w:w="60"/>
              <w:right w:type="dxa" w:w="100"/>
            </w:tcMar>
            <w:vAlign w:val="center"/>
          </w:tcPr>
          <w:p>
            <w:pPr>
              <w:spacing w:after="0"/>
            </w:pPr>
            <w:r>
              <w:rPr>
                <w:b w:val="false"/>
                <w:bCs w:val="false"/>
                <w:color w:val="000000"/>
                <w:sz w:val="18"/>
                <w:szCs w:val="18"/>
              </w:rPr>
              <w:t xml:space="preserve">Primary key.</w:t>
            </w:r>
          </w:p>
        </w:tc>
        <w:tc>
          <w:tcPr>
            <w:tcW w:type="dxa" w:w="2340"/>
            <w:tcMar>
              <w:top w:type="dxa" w:w="60"/>
              <w:left w:type="dxa" w:w="100"/>
              <w:bottom w:type="dxa" w:w="60"/>
              <w:right w:type="dxa" w:w="100"/>
            </w:tcMar>
            <w:vAlign w:val="center"/>
          </w:tcPr>
          <w:p>
            <w:pPr>
              <w:spacing w:after="0"/>
            </w:pPr>
            <w:r>
              <w:rPr>
                <w:b w:val="false"/>
                <w:bCs w:val="false"/>
                <w:color w:val="000000"/>
                <w:sz w:val="18"/>
                <w:szCs w:val="18"/>
              </w:rPr>
              <w:t xml:space="preserve">PK</w:t>
            </w:r>
          </w:p>
        </w:tc>
      </w:tr>
      <w:tr>
        <w:tc>
          <w:tcPr>
            <w:tcW w:type="dxa" w:w="20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shipment_id</w:t>
            </w:r>
          </w:p>
        </w:tc>
        <w:tc>
          <w:tcPr>
            <w:tcW w:type="dxa" w:w="15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UUID</w:t>
            </w:r>
          </w:p>
        </w:tc>
        <w:tc>
          <w:tcPr>
            <w:tcW w:type="dxa" w:w="38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Shipment this booking is for.</w:t>
            </w:r>
          </w:p>
        </w:tc>
        <w:tc>
          <w:tcPr>
            <w:tcW w:type="dxa" w:w="23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FK → logi.shipments.shipment_id</w:t>
            </w:r>
          </w:p>
        </w:tc>
      </w:tr>
      <w:tr>
        <w:tc>
          <w:tcPr>
            <w:tcW w:type="dxa" w:w="2000"/>
            <w:tcMar>
              <w:top w:type="dxa" w:w="60"/>
              <w:left w:type="dxa" w:w="100"/>
              <w:bottom w:type="dxa" w:w="60"/>
              <w:right w:type="dxa" w:w="100"/>
            </w:tcMar>
            <w:vAlign w:val="center"/>
          </w:tcPr>
          <w:p>
            <w:pPr>
              <w:spacing w:after="0"/>
            </w:pPr>
            <w:r>
              <w:rPr>
                <w:b w:val="false"/>
                <w:bCs w:val="false"/>
                <w:color w:val="000000"/>
                <w:sz w:val="18"/>
                <w:szCs w:val="18"/>
              </w:rPr>
              <w:t xml:space="preserve">carrier_id</w:t>
            </w:r>
          </w:p>
        </w:tc>
        <w:tc>
          <w:tcPr>
            <w:tcW w:type="dxa" w:w="1500"/>
            <w:tcMar>
              <w:top w:type="dxa" w:w="60"/>
              <w:left w:type="dxa" w:w="100"/>
              <w:bottom w:type="dxa" w:w="60"/>
              <w:right w:type="dxa" w:w="100"/>
            </w:tcMar>
            <w:vAlign w:val="center"/>
          </w:tcPr>
          <w:p>
            <w:pPr>
              <w:spacing w:after="0"/>
            </w:pPr>
            <w:r>
              <w:rPr>
                <w:b w:val="false"/>
                <w:bCs w:val="false"/>
                <w:color w:val="000000"/>
                <w:sz w:val="18"/>
                <w:szCs w:val="18"/>
              </w:rPr>
              <w:t xml:space="preserve">UUID</w:t>
            </w:r>
          </w:p>
        </w:tc>
        <w:tc>
          <w:tcPr>
            <w:tcW w:type="dxa" w:w="3800"/>
            <w:tcMar>
              <w:top w:type="dxa" w:w="60"/>
              <w:left w:type="dxa" w:w="100"/>
              <w:bottom w:type="dxa" w:w="60"/>
              <w:right w:type="dxa" w:w="100"/>
            </w:tcMar>
            <w:vAlign w:val="center"/>
          </w:tcPr>
          <w:p>
            <w:pPr>
              <w:spacing w:after="0"/>
            </w:pPr>
            <w:r>
              <w:rPr>
                <w:b w:val="false"/>
                <w:bCs w:val="false"/>
                <w:color w:val="000000"/>
                <w:sz w:val="18"/>
                <w:szCs w:val="18"/>
              </w:rPr>
              <w:t xml:space="preserve">Requested airline.</w:t>
            </w:r>
          </w:p>
        </w:tc>
        <w:tc>
          <w:tcPr>
            <w:tcW w:type="dxa" w:w="2340"/>
            <w:tcMar>
              <w:top w:type="dxa" w:w="60"/>
              <w:left w:type="dxa" w:w="100"/>
              <w:bottom w:type="dxa" w:w="60"/>
              <w:right w:type="dxa" w:w="100"/>
            </w:tcMar>
            <w:vAlign w:val="center"/>
          </w:tcPr>
          <w:p>
            <w:pPr>
              <w:spacing w:after="0"/>
            </w:pPr>
            <w:r>
              <w:rPr>
                <w:b w:val="false"/>
                <w:bCs w:val="false"/>
                <w:color w:val="000000"/>
                <w:sz w:val="18"/>
                <w:szCs w:val="18"/>
              </w:rPr>
              <w:t xml:space="preserve">FK → ref.carriers.carrier_id</w:t>
            </w:r>
          </w:p>
        </w:tc>
      </w:tr>
      <w:tr>
        <w:tc>
          <w:tcPr>
            <w:tcW w:type="dxa" w:w="20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requested_flight_date</w:t>
            </w:r>
          </w:p>
        </w:tc>
        <w:tc>
          <w:tcPr>
            <w:tcW w:type="dxa" w:w="15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DATE</w:t>
            </w:r>
          </w:p>
        </w:tc>
        <w:tc>
          <w:tcPr>
            <w:tcW w:type="dxa" w:w="38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Requested uplift date.</w:t>
            </w:r>
          </w:p>
        </w:tc>
        <w:tc>
          <w:tcPr>
            <w:tcW w:type="dxa" w:w="23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
            </w:r>
          </w:p>
        </w:tc>
      </w:tr>
      <w:tr>
        <w:tc>
          <w:tcPr>
            <w:tcW w:type="dxa" w:w="2000"/>
            <w:tcMar>
              <w:top w:type="dxa" w:w="60"/>
              <w:left w:type="dxa" w:w="100"/>
              <w:bottom w:type="dxa" w:w="60"/>
              <w:right w:type="dxa" w:w="100"/>
            </w:tcMar>
            <w:vAlign w:val="center"/>
          </w:tcPr>
          <w:p>
            <w:pPr>
              <w:spacing w:after="0"/>
            </w:pPr>
            <w:r>
              <w:rPr>
                <w:b w:val="false"/>
                <w:bCs w:val="false"/>
                <w:color w:val="000000"/>
                <w:sz w:val="18"/>
                <w:szCs w:val="18"/>
              </w:rPr>
              <w:t xml:space="preserve">ready_for_carriage_at</w:t>
            </w:r>
          </w:p>
        </w:tc>
        <w:tc>
          <w:tcPr>
            <w:tcW w:type="dxa" w:w="1500"/>
            <w:tcMar>
              <w:top w:type="dxa" w:w="60"/>
              <w:left w:type="dxa" w:w="100"/>
              <w:bottom w:type="dxa" w:w="60"/>
              <w:right w:type="dxa" w:w="100"/>
            </w:tcMar>
            <w:vAlign w:val="center"/>
          </w:tcPr>
          <w:p>
            <w:pPr>
              <w:spacing w:after="0"/>
            </w:pPr>
            <w:r>
              <w:rPr>
                <w:b w:val="false"/>
                <w:bCs w:val="false"/>
                <w:color w:val="000000"/>
                <w:sz w:val="18"/>
                <w:szCs w:val="18"/>
              </w:rPr>
              <w:t xml:space="preserve">TIMESTAMP</w:t>
            </w:r>
          </w:p>
        </w:tc>
        <w:tc>
          <w:tcPr>
            <w:tcW w:type="dxa" w:w="3800"/>
            <w:tcMar>
              <w:top w:type="dxa" w:w="60"/>
              <w:left w:type="dxa" w:w="100"/>
              <w:bottom w:type="dxa" w:w="60"/>
              <w:right w:type="dxa" w:w="100"/>
            </w:tcMar>
            <w:vAlign w:val="center"/>
          </w:tcPr>
          <w:p>
            <w:pPr>
              <w:spacing w:after="0"/>
            </w:pPr>
            <w:r>
              <w:rPr>
                <w:b w:val="false"/>
                <w:bCs w:val="false"/>
                <w:color w:val="000000"/>
                <w:sz w:val="18"/>
                <w:szCs w:val="18"/>
              </w:rPr>
              <w:t xml:space="preserve">Cargo-ready time communicated to the carrier.</w:t>
            </w:r>
          </w:p>
        </w:tc>
        <w:tc>
          <w:tcPr>
            <w:tcW w:type="dxa" w:w="2340"/>
            <w:tcMar>
              <w:top w:type="dxa" w:w="60"/>
              <w:left w:type="dxa" w:w="100"/>
              <w:bottom w:type="dxa" w:w="60"/>
              <w:right w:type="dxa" w:w="100"/>
            </w:tcMar>
            <w:vAlign w:val="center"/>
          </w:tcPr>
          <w:p>
            <w:pPr>
              <w:spacing w:after="0"/>
            </w:pPr>
            <w:r>
              <w:rPr>
                <w:b w:val="false"/>
                <w:bCs w:val="false"/>
                <w:color w:val="000000"/>
                <w:sz w:val="18"/>
                <w:szCs w:val="18"/>
              </w:rPr>
              <w:t xml:space="preserve"/>
            </w:r>
          </w:p>
        </w:tc>
      </w:tr>
      <w:tr>
        <w:tc>
          <w:tcPr>
            <w:tcW w:type="dxa" w:w="20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requested_pieces / requested_weight_kg</w:t>
            </w:r>
          </w:p>
        </w:tc>
        <w:tc>
          <w:tcPr>
            <w:tcW w:type="dxa" w:w="15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INTEGER / DECIMAL(12,3)</w:t>
            </w:r>
          </w:p>
        </w:tc>
        <w:tc>
          <w:tcPr>
            <w:tcW w:type="dxa" w:w="38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Space requested.</w:t>
            </w:r>
          </w:p>
        </w:tc>
        <w:tc>
          <w:tcPr>
            <w:tcW w:type="dxa" w:w="23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
            </w:r>
          </w:p>
        </w:tc>
      </w:tr>
      <w:tr>
        <w:tc>
          <w:tcPr>
            <w:tcW w:type="dxa" w:w="2000"/>
            <w:tcMar>
              <w:top w:type="dxa" w:w="60"/>
              <w:left w:type="dxa" w:w="100"/>
              <w:bottom w:type="dxa" w:w="60"/>
              <w:right w:type="dxa" w:w="100"/>
            </w:tcMar>
            <w:vAlign w:val="center"/>
          </w:tcPr>
          <w:p>
            <w:pPr>
              <w:spacing w:after="0"/>
            </w:pPr>
            <w:r>
              <w:rPr>
                <w:b w:val="false"/>
                <w:bCs w:val="false"/>
                <w:color w:val="000000"/>
                <w:sz w:val="18"/>
                <w:szCs w:val="18"/>
              </w:rPr>
              <w:t xml:space="preserve">special_handling_codes</w:t>
            </w:r>
          </w:p>
        </w:tc>
        <w:tc>
          <w:tcPr>
            <w:tcW w:type="dxa" w:w="1500"/>
            <w:tcMar>
              <w:top w:type="dxa" w:w="60"/>
              <w:left w:type="dxa" w:w="100"/>
              <w:bottom w:type="dxa" w:w="60"/>
              <w:right w:type="dxa" w:w="100"/>
            </w:tcMar>
            <w:vAlign w:val="center"/>
          </w:tcPr>
          <w:p>
            <w:pPr>
              <w:spacing w:after="0"/>
            </w:pPr>
            <w:r>
              <w:rPr>
                <w:b w:val="false"/>
                <w:bCs w:val="false"/>
                <w:color w:val="000000"/>
                <w:sz w:val="18"/>
                <w:szCs w:val="18"/>
              </w:rPr>
              <w:t xml:space="preserve">ARRAY(VARCHAR)</w:t>
            </w:r>
          </w:p>
        </w:tc>
        <w:tc>
          <w:tcPr>
            <w:tcW w:type="dxa" w:w="3800"/>
            <w:tcMar>
              <w:top w:type="dxa" w:w="60"/>
              <w:left w:type="dxa" w:w="100"/>
              <w:bottom w:type="dxa" w:w="60"/>
              <w:right w:type="dxa" w:w="100"/>
            </w:tcMar>
            <w:vAlign w:val="center"/>
          </w:tcPr>
          <w:p>
            <w:pPr>
              <w:spacing w:after="0"/>
            </w:pPr>
            <w:r>
              <w:rPr>
                <w:b w:val="false"/>
                <w:bCs w:val="false"/>
                <w:color w:val="000000"/>
                <w:sz w:val="18"/>
                <w:szCs w:val="18"/>
              </w:rPr>
              <w:t xml:space="preserve">Copied from Shipment; may add carrier-specific codes.</w:t>
            </w:r>
          </w:p>
        </w:tc>
        <w:tc>
          <w:tcPr>
            <w:tcW w:type="dxa" w:w="2340"/>
            <w:tcMar>
              <w:top w:type="dxa" w:w="60"/>
              <w:left w:type="dxa" w:w="100"/>
              <w:bottom w:type="dxa" w:w="60"/>
              <w:right w:type="dxa" w:w="100"/>
            </w:tcMar>
            <w:vAlign w:val="center"/>
          </w:tcPr>
          <w:p>
            <w:pPr>
              <w:spacing w:after="0"/>
            </w:pPr>
            <w:r>
              <w:rPr>
                <w:b w:val="false"/>
                <w:bCs w:val="false"/>
                <w:color w:val="000000"/>
                <w:sz w:val="18"/>
                <w:szCs w:val="18"/>
              </w:rPr>
              <w:t xml:space="preserve"/>
            </w:r>
          </w:p>
        </w:tc>
      </w:tr>
      <w:tr>
        <w:tc>
          <w:tcPr>
            <w:tcW w:type="dxa" w:w="20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status</w:t>
            </w:r>
          </w:p>
        </w:tc>
        <w:tc>
          <w:tcPr>
            <w:tcW w:type="dxa" w:w="15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ENUM</w:t>
            </w:r>
          </w:p>
        </w:tc>
        <w:tc>
          <w:tcPr>
            <w:tcW w:type="dxa" w:w="38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Requested, Space Confirmed (SC), Waitlisted, Rejected, Cancelled.</w:t>
            </w:r>
          </w:p>
        </w:tc>
        <w:tc>
          <w:tcPr>
            <w:tcW w:type="dxa" w:w="23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
            </w:r>
          </w:p>
        </w:tc>
      </w:tr>
      <w:tr>
        <w:tc>
          <w:tcPr>
            <w:tcW w:type="dxa" w:w="2000"/>
            <w:tcMar>
              <w:top w:type="dxa" w:w="60"/>
              <w:left w:type="dxa" w:w="100"/>
              <w:bottom w:type="dxa" w:w="60"/>
              <w:right w:type="dxa" w:w="100"/>
            </w:tcMar>
            <w:vAlign w:val="center"/>
          </w:tcPr>
          <w:p>
            <w:pPr>
              <w:spacing w:after="0"/>
            </w:pPr>
            <w:r>
              <w:rPr>
                <w:b w:val="false"/>
                <w:bCs w:val="false"/>
                <w:color w:val="000000"/>
                <w:sz w:val="18"/>
                <w:szCs w:val="18"/>
              </w:rPr>
              <w:t xml:space="preserve">allotment_reference</w:t>
            </w:r>
          </w:p>
        </w:tc>
        <w:tc>
          <w:tcPr>
            <w:tcW w:type="dxa" w:w="1500"/>
            <w:tcMar>
              <w:top w:type="dxa" w:w="60"/>
              <w:left w:type="dxa" w:w="100"/>
              <w:bottom w:type="dxa" w:w="60"/>
              <w:right w:type="dxa" w:w="100"/>
            </w:tcMar>
            <w:vAlign w:val="center"/>
          </w:tcPr>
          <w:p>
            <w:pPr>
              <w:spacing w:after="0"/>
            </w:pPr>
            <w:r>
              <w:rPr>
                <w:b w:val="false"/>
                <w:bCs w:val="false"/>
                <w:color w:val="000000"/>
                <w:sz w:val="18"/>
                <w:szCs w:val="18"/>
              </w:rPr>
              <w:t xml:space="preserve">VARCHAR(30)</w:t>
            </w:r>
          </w:p>
        </w:tc>
        <w:tc>
          <w:tcPr>
            <w:tcW w:type="dxa" w:w="3800"/>
            <w:tcMar>
              <w:top w:type="dxa" w:w="60"/>
              <w:left w:type="dxa" w:w="100"/>
              <w:bottom w:type="dxa" w:w="60"/>
              <w:right w:type="dxa" w:w="100"/>
            </w:tcMar>
            <w:vAlign w:val="center"/>
          </w:tcPr>
          <w:p>
            <w:pPr>
              <w:spacing w:after="0"/>
            </w:pPr>
            <w:r>
              <w:rPr>
                <w:b w:val="false"/>
                <w:bCs w:val="false"/>
                <w:color w:val="000000"/>
                <w:sz w:val="18"/>
                <w:szCs w:val="18"/>
              </w:rPr>
              <w:t xml:space="preserve">Carrier’s allotment / booking reference, if applicable.</w:t>
            </w:r>
          </w:p>
        </w:tc>
        <w:tc>
          <w:tcPr>
            <w:tcW w:type="dxa" w:w="2340"/>
            <w:tcMar>
              <w:top w:type="dxa" w:w="60"/>
              <w:left w:type="dxa" w:w="100"/>
              <w:bottom w:type="dxa" w:w="60"/>
              <w:right w:type="dxa" w:w="100"/>
            </w:tcMar>
            <w:vAlign w:val="center"/>
          </w:tcPr>
          <w:p>
            <w:pPr>
              <w:spacing w:after="0"/>
            </w:pPr>
            <w:r>
              <w:rPr>
                <w:b w:val="false"/>
                <w:bCs w:val="false"/>
                <w:color w:val="000000"/>
                <w:sz w:val="18"/>
                <w:szCs w:val="18"/>
              </w:rPr>
              <w:t xml:space="preserve"/>
            </w:r>
          </w:p>
        </w:tc>
      </w:tr>
      <w:tr>
        <w:tc>
          <w:tcPr>
            <w:tcW w:type="dxa" w:w="20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confirmed_flight_number</w:t>
            </w:r>
          </w:p>
        </w:tc>
        <w:tc>
          <w:tcPr>
            <w:tcW w:type="dxa" w:w="15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VARCHAR(10)</w:t>
            </w:r>
          </w:p>
        </w:tc>
        <w:tc>
          <w:tcPr>
            <w:tcW w:type="dxa" w:w="38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Set once the carrier confirms space.</w:t>
            </w:r>
          </w:p>
        </w:tc>
        <w:tc>
          <w:tcPr>
            <w:tcW w:type="dxa" w:w="23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FK → logi.flight_manifests.flight_number (composite)</w:t>
            </w:r>
          </w:p>
        </w:tc>
      </w:tr>
      <w:tr>
        <w:tc>
          <w:tcPr>
            <w:tcW w:type="dxa" w:w="2000"/>
            <w:tcMar>
              <w:top w:type="dxa" w:w="60"/>
              <w:left w:type="dxa" w:w="100"/>
              <w:bottom w:type="dxa" w:w="60"/>
              <w:right w:type="dxa" w:w="100"/>
            </w:tcMar>
            <w:vAlign w:val="center"/>
          </w:tcPr>
          <w:p>
            <w:pPr>
              <w:spacing w:after="0"/>
            </w:pPr>
            <w:r>
              <w:rPr>
                <w:b w:val="false"/>
                <w:bCs w:val="false"/>
                <w:color w:val="000000"/>
                <w:sz w:val="18"/>
                <w:szCs w:val="18"/>
              </w:rPr>
              <w:t xml:space="preserve">confirmed_flight_date</w:t>
            </w:r>
          </w:p>
        </w:tc>
        <w:tc>
          <w:tcPr>
            <w:tcW w:type="dxa" w:w="1500"/>
            <w:tcMar>
              <w:top w:type="dxa" w:w="60"/>
              <w:left w:type="dxa" w:w="100"/>
              <w:bottom w:type="dxa" w:w="60"/>
              <w:right w:type="dxa" w:w="100"/>
            </w:tcMar>
            <w:vAlign w:val="center"/>
          </w:tcPr>
          <w:p>
            <w:pPr>
              <w:spacing w:after="0"/>
            </w:pPr>
            <w:r>
              <w:rPr>
                <w:b w:val="false"/>
                <w:bCs w:val="false"/>
                <w:color w:val="000000"/>
                <w:sz w:val="18"/>
                <w:szCs w:val="18"/>
              </w:rPr>
              <w:t xml:space="preserve">DATE</w:t>
            </w:r>
          </w:p>
        </w:tc>
        <w:tc>
          <w:tcPr>
            <w:tcW w:type="dxa" w:w="3800"/>
            <w:tcMar>
              <w:top w:type="dxa" w:w="60"/>
              <w:left w:type="dxa" w:w="100"/>
              <w:bottom w:type="dxa" w:w="60"/>
              <w:right w:type="dxa" w:w="100"/>
            </w:tcMar>
            <w:vAlign w:val="center"/>
          </w:tcPr>
          <w:p>
            <w:pPr>
              <w:spacing w:after="0"/>
            </w:pPr>
            <w:r>
              <w:rPr>
                <w:b w:val="false"/>
                <w:bCs w:val="false"/>
                <w:color w:val="000000"/>
                <w:sz w:val="18"/>
                <w:szCs w:val="18"/>
              </w:rPr>
              <w:t xml:space="preserve">Set once the carrier confirms space.</w:t>
            </w:r>
          </w:p>
        </w:tc>
        <w:tc>
          <w:tcPr>
            <w:tcW w:type="dxa" w:w="2340"/>
            <w:tcMar>
              <w:top w:type="dxa" w:w="60"/>
              <w:left w:type="dxa" w:w="100"/>
              <w:bottom w:type="dxa" w:w="60"/>
              <w:right w:type="dxa" w:w="100"/>
            </w:tcMar>
            <w:vAlign w:val="center"/>
          </w:tcPr>
          <w:p>
            <w:pPr>
              <w:spacing w:after="0"/>
            </w:pPr>
            <w:r>
              <w:rPr>
                <w:b w:val="false"/>
                <w:bCs w:val="false"/>
                <w:color w:val="000000"/>
                <w:sz w:val="18"/>
                <w:szCs w:val="18"/>
              </w:rPr>
              <w:t xml:space="preserve"/>
            </w:r>
          </w:p>
        </w:tc>
      </w:tr>
      <w:tr>
        <w:tc>
          <w:tcPr>
            <w:tcW w:type="dxa" w:w="20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response_received_at</w:t>
            </w:r>
          </w:p>
        </w:tc>
        <w:tc>
          <w:tcPr>
            <w:tcW w:type="dxa" w:w="15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TIMESTAMP, nullable</w:t>
            </w:r>
          </w:p>
        </w:tc>
        <w:tc>
          <w:tcPr>
            <w:tcW w:type="dxa" w:w="38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When the carrier’s FSU/booking response was received.</w:t>
            </w:r>
          </w:p>
        </w:tc>
        <w:tc>
          <w:tcPr>
            <w:tcW w:type="dxa" w:w="23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
            </w:r>
          </w:p>
        </w:tc>
      </w:tr>
    </w:tbl>
    <w:p>
      <w:pPr>
        <w:spacing w:after="200"/>
      </w:pPr>
    </w:p>
    <w:p>
      <w:pPr>
        <w:pStyle w:val="Heading2"/>
        <w:spacing w:after="150" w:before="300"/>
      </w:pPr>
      <w:r>
        <w:t xml:space="preserve">3.3 Air Waybill (Master / House)</w:t>
      </w:r>
    </w:p>
    <w:p>
      <w:pPr>
        <w:spacing w:after="160"/>
      </w:pPr>
      <w:r>
        <w:rPr>
          <w:i/>
          <w:iCs/>
          <w:color w:val="595959"/>
        </w:rPr>
        <w:t xml:space="preserve">logi.air_waybills — the contract of carriage; issued as a Master (MAWB) and, for consolidated cargo, one or more House AWBs (HAWB) referencing it.</w:t>
      </w:r>
    </w:p>
    <w:p>
      <w:pPr>
        <w:spacing w:after="40" w:before="240"/>
      </w:pPr>
      <w:r>
        <w:rPr>
          <w:b/>
          <w:bCs/>
          <w:sz w:val="22"/>
          <w:szCs w:val="22"/>
        </w:rPr>
        <w:t xml:space="preserve">Air Waybill</w:t>
      </w:r>
      <w:r>
        <w:rPr>
          <w:i/>
          <w:iCs/>
          <w:color w:val="595959"/>
          <w:sz w:val="18"/>
          <w:szCs w:val="18"/>
        </w:rPr>
        <w:t xml:space="preserve">  logi.air_waybills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800"/>
        <w:gridCol w:w="2340"/>
      </w:tblGrid>
      <w:tr>
        <w:trPr>
          <w:tblHeader/>
        </w:trPr>
        <w:tc>
          <w:tcPr>
            <w:tcW w:type="dxa" w:w="2000"/>
            <w:shd w:fill="1F3864" w:val="clear"/>
            <w:tcMar>
              <w:top w:type="dxa" w:w="80"/>
              <w:left w:type="dxa" w:w="100"/>
              <w:bottom w:type="dxa" w:w="80"/>
              <w:right w:type="dxa" w:w="100"/>
            </w:tcMar>
            <w:vAlign w:val="center"/>
          </w:tcPr>
          <w:p>
            <w:pPr>
              <w:spacing w:after="0"/>
            </w:pPr>
            <w:r>
              <w:rPr>
                <w:b/>
                <w:bCs/>
                <w:color w:val="FFFFFF"/>
                <w:sz w:val="18"/>
                <w:szCs w:val="18"/>
              </w:rPr>
              <w:t xml:space="preserve">Field</w:t>
            </w:r>
          </w:p>
        </w:tc>
        <w:tc>
          <w:tcPr>
            <w:tcW w:type="dxa" w:w="1500"/>
            <w:shd w:fill="1F3864" w:val="clear"/>
            <w:tcMar>
              <w:top w:type="dxa" w:w="80"/>
              <w:left w:type="dxa" w:w="100"/>
              <w:bottom w:type="dxa" w:w="80"/>
              <w:right w:type="dxa" w:w="100"/>
            </w:tcMar>
            <w:vAlign w:val="center"/>
          </w:tcPr>
          <w:p>
            <w:pPr>
              <w:spacing w:after="0"/>
            </w:pPr>
            <w:r>
              <w:rPr>
                <w:b/>
                <w:bCs/>
                <w:color w:val="FFFFFF"/>
                <w:sz w:val="18"/>
                <w:szCs w:val="18"/>
              </w:rPr>
              <w:t xml:space="preserve">Type</w:t>
            </w:r>
          </w:p>
        </w:tc>
        <w:tc>
          <w:tcPr>
            <w:tcW w:type="dxa" w:w="3800"/>
            <w:shd w:fill="1F3864" w:val="clear"/>
            <w:tcMar>
              <w:top w:type="dxa" w:w="80"/>
              <w:left w:type="dxa" w:w="100"/>
              <w:bottom w:type="dxa" w:w="80"/>
              <w:right w:type="dxa" w:w="100"/>
            </w:tcMar>
            <w:vAlign w:val="center"/>
          </w:tcPr>
          <w:p>
            <w:pPr>
              <w:spacing w:after="0"/>
            </w:pPr>
            <w:r>
              <w:rPr>
                <w:b/>
                <w:bCs/>
                <w:color w:val="FFFFFF"/>
                <w:sz w:val="18"/>
                <w:szCs w:val="18"/>
              </w:rPr>
              <w:t xml:space="preserve">Description</w:t>
            </w:r>
          </w:p>
        </w:tc>
        <w:tc>
          <w:tcPr>
            <w:tcW w:type="dxa" w:w="2340"/>
            <w:shd w:fill="1F3864" w:val="clear"/>
            <w:tcMar>
              <w:top w:type="dxa" w:w="80"/>
              <w:left w:type="dxa" w:w="100"/>
              <w:bottom w:type="dxa" w:w="80"/>
              <w:right w:type="dxa" w:w="100"/>
            </w:tcMar>
            <w:vAlign w:val="center"/>
          </w:tcPr>
          <w:p>
            <w:pPr>
              <w:spacing w:after="0"/>
            </w:pPr>
            <w:r>
              <w:rPr>
                <w:b/>
                <w:bCs/>
                <w:color w:val="FFFFFF"/>
                <w:sz w:val="18"/>
                <w:szCs w:val="18"/>
              </w:rPr>
              <w:t xml:space="preserve">Key / Relationship</w:t>
            </w:r>
          </w:p>
        </w:tc>
      </w:tr>
      <w:tr>
        <w:tc>
          <w:tcPr>
            <w:tcW w:type="dxa" w:w="2000"/>
            <w:tcMar>
              <w:top w:type="dxa" w:w="60"/>
              <w:left w:type="dxa" w:w="100"/>
              <w:bottom w:type="dxa" w:w="60"/>
              <w:right w:type="dxa" w:w="100"/>
            </w:tcMar>
            <w:vAlign w:val="center"/>
          </w:tcPr>
          <w:p>
            <w:pPr>
              <w:spacing w:after="0"/>
            </w:pPr>
            <w:r>
              <w:rPr>
                <w:b w:val="false"/>
                <w:bCs w:val="false"/>
                <w:color w:val="000000"/>
                <w:sz w:val="18"/>
                <w:szCs w:val="18"/>
              </w:rPr>
              <w:t xml:space="preserve">awb_id</w:t>
            </w:r>
          </w:p>
        </w:tc>
        <w:tc>
          <w:tcPr>
            <w:tcW w:type="dxa" w:w="1500"/>
            <w:tcMar>
              <w:top w:type="dxa" w:w="60"/>
              <w:left w:type="dxa" w:w="100"/>
              <w:bottom w:type="dxa" w:w="60"/>
              <w:right w:type="dxa" w:w="100"/>
            </w:tcMar>
            <w:vAlign w:val="center"/>
          </w:tcPr>
          <w:p>
            <w:pPr>
              <w:spacing w:after="0"/>
            </w:pPr>
            <w:r>
              <w:rPr>
                <w:b w:val="false"/>
                <w:bCs w:val="false"/>
                <w:color w:val="000000"/>
                <w:sz w:val="18"/>
                <w:szCs w:val="18"/>
              </w:rPr>
              <w:t xml:space="preserve">UUID (PK)</w:t>
            </w:r>
          </w:p>
        </w:tc>
        <w:tc>
          <w:tcPr>
            <w:tcW w:type="dxa" w:w="3800"/>
            <w:tcMar>
              <w:top w:type="dxa" w:w="60"/>
              <w:left w:type="dxa" w:w="100"/>
              <w:bottom w:type="dxa" w:w="60"/>
              <w:right w:type="dxa" w:w="100"/>
            </w:tcMar>
            <w:vAlign w:val="center"/>
          </w:tcPr>
          <w:p>
            <w:pPr>
              <w:spacing w:after="0"/>
            </w:pPr>
            <w:r>
              <w:rPr>
                <w:b w:val="false"/>
                <w:bCs w:val="false"/>
                <w:color w:val="000000"/>
                <w:sz w:val="18"/>
                <w:szCs w:val="18"/>
              </w:rPr>
              <w:t xml:space="preserve">Primary key.</w:t>
            </w:r>
          </w:p>
        </w:tc>
        <w:tc>
          <w:tcPr>
            <w:tcW w:type="dxa" w:w="2340"/>
            <w:tcMar>
              <w:top w:type="dxa" w:w="60"/>
              <w:left w:type="dxa" w:w="100"/>
              <w:bottom w:type="dxa" w:w="60"/>
              <w:right w:type="dxa" w:w="100"/>
            </w:tcMar>
            <w:vAlign w:val="center"/>
          </w:tcPr>
          <w:p>
            <w:pPr>
              <w:spacing w:after="0"/>
            </w:pPr>
            <w:r>
              <w:rPr>
                <w:b w:val="false"/>
                <w:bCs w:val="false"/>
                <w:color w:val="000000"/>
                <w:sz w:val="18"/>
                <w:szCs w:val="18"/>
              </w:rPr>
              <w:t xml:space="preserve">PK</w:t>
            </w:r>
          </w:p>
        </w:tc>
      </w:tr>
      <w:tr>
        <w:tc>
          <w:tcPr>
            <w:tcW w:type="dxa" w:w="20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awb_number</w:t>
            </w:r>
          </w:p>
        </w:tc>
        <w:tc>
          <w:tcPr>
            <w:tcW w:type="dxa" w:w="15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CHAR(11)</w:t>
            </w:r>
          </w:p>
        </w:tc>
        <w:tc>
          <w:tcPr>
            <w:tcW w:type="dxa" w:w="38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11-digit IATA AWB number: 3-digit airline prefix + 8-digit serial incl. check digit.</w:t>
            </w:r>
          </w:p>
        </w:tc>
        <w:tc>
          <w:tcPr>
            <w:tcW w:type="dxa" w:w="23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Unique</w:t>
            </w:r>
          </w:p>
        </w:tc>
      </w:tr>
      <w:tr>
        <w:tc>
          <w:tcPr>
            <w:tcW w:type="dxa" w:w="2000"/>
            <w:tcMar>
              <w:top w:type="dxa" w:w="60"/>
              <w:left w:type="dxa" w:w="100"/>
              <w:bottom w:type="dxa" w:w="60"/>
              <w:right w:type="dxa" w:w="100"/>
            </w:tcMar>
            <w:vAlign w:val="center"/>
          </w:tcPr>
          <w:p>
            <w:pPr>
              <w:spacing w:after="0"/>
            </w:pPr>
            <w:r>
              <w:rPr>
                <w:b w:val="false"/>
                <w:bCs w:val="false"/>
                <w:color w:val="000000"/>
                <w:sz w:val="18"/>
                <w:szCs w:val="18"/>
              </w:rPr>
              <w:t xml:space="preserve">awb_type</w:t>
            </w:r>
          </w:p>
        </w:tc>
        <w:tc>
          <w:tcPr>
            <w:tcW w:type="dxa" w:w="1500"/>
            <w:tcMar>
              <w:top w:type="dxa" w:w="60"/>
              <w:left w:type="dxa" w:w="100"/>
              <w:bottom w:type="dxa" w:w="60"/>
              <w:right w:type="dxa" w:w="100"/>
            </w:tcMar>
            <w:vAlign w:val="center"/>
          </w:tcPr>
          <w:p>
            <w:pPr>
              <w:spacing w:after="0"/>
            </w:pPr>
            <w:r>
              <w:rPr>
                <w:b w:val="false"/>
                <w:bCs w:val="false"/>
                <w:color w:val="000000"/>
                <w:sz w:val="18"/>
                <w:szCs w:val="18"/>
              </w:rPr>
              <w:t xml:space="preserve">ENUM</w:t>
            </w:r>
          </w:p>
        </w:tc>
        <w:tc>
          <w:tcPr>
            <w:tcW w:type="dxa" w:w="3800"/>
            <w:tcMar>
              <w:top w:type="dxa" w:w="60"/>
              <w:left w:type="dxa" w:w="100"/>
              <w:bottom w:type="dxa" w:w="60"/>
              <w:right w:type="dxa" w:w="100"/>
            </w:tcMar>
            <w:vAlign w:val="center"/>
          </w:tcPr>
          <w:p>
            <w:pPr>
              <w:spacing w:after="0"/>
            </w:pPr>
            <w:r>
              <w:rPr>
                <w:b w:val="false"/>
                <w:bCs w:val="false"/>
                <w:color w:val="000000"/>
                <w:sz w:val="18"/>
                <w:szCs w:val="18"/>
              </w:rPr>
              <w:t xml:space="preserve">Master (MAWB), House (HAWB).</w:t>
            </w:r>
          </w:p>
        </w:tc>
        <w:tc>
          <w:tcPr>
            <w:tcW w:type="dxa" w:w="2340"/>
            <w:tcMar>
              <w:top w:type="dxa" w:w="60"/>
              <w:left w:type="dxa" w:w="100"/>
              <w:bottom w:type="dxa" w:w="60"/>
              <w:right w:type="dxa" w:w="100"/>
            </w:tcMar>
            <w:vAlign w:val="center"/>
          </w:tcPr>
          <w:p>
            <w:pPr>
              <w:spacing w:after="0"/>
            </w:pPr>
            <w:r>
              <w:rPr>
                <w:b w:val="false"/>
                <w:bCs w:val="false"/>
                <w:color w:val="000000"/>
                <w:sz w:val="18"/>
                <w:szCs w:val="18"/>
              </w:rPr>
              <w:t xml:space="preserve"/>
            </w:r>
          </w:p>
        </w:tc>
      </w:tr>
      <w:tr>
        <w:tc>
          <w:tcPr>
            <w:tcW w:type="dxa" w:w="20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parent_mawb_id</w:t>
            </w:r>
          </w:p>
        </w:tc>
        <w:tc>
          <w:tcPr>
            <w:tcW w:type="dxa" w:w="15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UUID, nullable</w:t>
            </w:r>
          </w:p>
        </w:tc>
        <w:tc>
          <w:tcPr>
            <w:tcW w:type="dxa" w:w="38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For a House AWB, the Master AWB it is consolidated under.</w:t>
            </w:r>
          </w:p>
        </w:tc>
        <w:tc>
          <w:tcPr>
            <w:tcW w:type="dxa" w:w="23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FK → logi.air_waybills.awb_id (self)</w:t>
            </w:r>
          </w:p>
        </w:tc>
      </w:tr>
      <w:tr>
        <w:tc>
          <w:tcPr>
            <w:tcW w:type="dxa" w:w="2000"/>
            <w:tcMar>
              <w:top w:type="dxa" w:w="60"/>
              <w:left w:type="dxa" w:w="100"/>
              <w:bottom w:type="dxa" w:w="60"/>
              <w:right w:type="dxa" w:w="100"/>
            </w:tcMar>
            <w:vAlign w:val="center"/>
          </w:tcPr>
          <w:p>
            <w:pPr>
              <w:spacing w:after="0"/>
            </w:pPr>
            <w:r>
              <w:rPr>
                <w:b w:val="false"/>
                <w:bCs w:val="false"/>
                <w:color w:val="000000"/>
                <w:sz w:val="18"/>
                <w:szCs w:val="18"/>
              </w:rPr>
              <w:t xml:space="preserve">shipment_id</w:t>
            </w:r>
          </w:p>
        </w:tc>
        <w:tc>
          <w:tcPr>
            <w:tcW w:type="dxa" w:w="1500"/>
            <w:tcMar>
              <w:top w:type="dxa" w:w="60"/>
              <w:left w:type="dxa" w:w="100"/>
              <w:bottom w:type="dxa" w:w="60"/>
              <w:right w:type="dxa" w:w="100"/>
            </w:tcMar>
            <w:vAlign w:val="center"/>
          </w:tcPr>
          <w:p>
            <w:pPr>
              <w:spacing w:after="0"/>
            </w:pPr>
            <w:r>
              <w:rPr>
                <w:b w:val="false"/>
                <w:bCs w:val="false"/>
                <w:color w:val="000000"/>
                <w:sz w:val="18"/>
                <w:szCs w:val="18"/>
              </w:rPr>
              <w:t xml:space="preserve">UUID</w:t>
            </w:r>
          </w:p>
        </w:tc>
        <w:tc>
          <w:tcPr>
            <w:tcW w:type="dxa" w:w="3800"/>
            <w:tcMar>
              <w:top w:type="dxa" w:w="60"/>
              <w:left w:type="dxa" w:w="100"/>
              <w:bottom w:type="dxa" w:w="60"/>
              <w:right w:type="dxa" w:w="100"/>
            </w:tcMar>
            <w:vAlign w:val="center"/>
          </w:tcPr>
          <w:p>
            <w:pPr>
              <w:spacing w:after="0"/>
            </w:pPr>
            <w:r>
              <w:rPr>
                <w:b w:val="false"/>
                <w:bCs w:val="false"/>
                <w:color w:val="000000"/>
                <w:sz w:val="18"/>
                <w:szCs w:val="18"/>
              </w:rPr>
              <w:t xml:space="preserve">Shipment this AWB documents.</w:t>
            </w:r>
          </w:p>
        </w:tc>
        <w:tc>
          <w:tcPr>
            <w:tcW w:type="dxa" w:w="2340"/>
            <w:tcMar>
              <w:top w:type="dxa" w:w="60"/>
              <w:left w:type="dxa" w:w="100"/>
              <w:bottom w:type="dxa" w:w="60"/>
              <w:right w:type="dxa" w:w="100"/>
            </w:tcMar>
            <w:vAlign w:val="center"/>
          </w:tcPr>
          <w:p>
            <w:pPr>
              <w:spacing w:after="0"/>
            </w:pPr>
            <w:r>
              <w:rPr>
                <w:b w:val="false"/>
                <w:bCs w:val="false"/>
                <w:color w:val="000000"/>
                <w:sz w:val="18"/>
                <w:szCs w:val="18"/>
              </w:rPr>
              <w:t xml:space="preserve">FK → logi.shipments.shipment_id</w:t>
            </w:r>
          </w:p>
        </w:tc>
      </w:tr>
      <w:tr>
        <w:tc>
          <w:tcPr>
            <w:tcW w:type="dxa" w:w="20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carrier_id</w:t>
            </w:r>
          </w:p>
        </w:tc>
        <w:tc>
          <w:tcPr>
            <w:tcW w:type="dxa" w:w="15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UUID</w:t>
            </w:r>
          </w:p>
        </w:tc>
        <w:tc>
          <w:tcPr>
            <w:tcW w:type="dxa" w:w="38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Issuing / operating carrier.</w:t>
            </w:r>
          </w:p>
        </w:tc>
        <w:tc>
          <w:tcPr>
            <w:tcW w:type="dxa" w:w="23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FK → ref.carriers.carrier_id</w:t>
            </w:r>
          </w:p>
        </w:tc>
      </w:tr>
      <w:tr>
        <w:tc>
          <w:tcPr>
            <w:tcW w:type="dxa" w:w="2000"/>
            <w:tcMar>
              <w:top w:type="dxa" w:w="60"/>
              <w:left w:type="dxa" w:w="100"/>
              <w:bottom w:type="dxa" w:w="60"/>
              <w:right w:type="dxa" w:w="100"/>
            </w:tcMar>
            <w:vAlign w:val="center"/>
          </w:tcPr>
          <w:p>
            <w:pPr>
              <w:spacing w:after="0"/>
            </w:pPr>
            <w:r>
              <w:rPr>
                <w:b w:val="false"/>
                <w:bCs w:val="false"/>
                <w:color w:val="000000"/>
                <w:sz w:val="18"/>
                <w:szCs w:val="18"/>
              </w:rPr>
              <w:t xml:space="preserve">shipper_contact_id / consignee_contact_id</w:t>
            </w:r>
          </w:p>
        </w:tc>
        <w:tc>
          <w:tcPr>
            <w:tcW w:type="dxa" w:w="1500"/>
            <w:tcMar>
              <w:top w:type="dxa" w:w="60"/>
              <w:left w:type="dxa" w:w="100"/>
              <w:bottom w:type="dxa" w:w="60"/>
              <w:right w:type="dxa" w:w="100"/>
            </w:tcMar>
            <w:vAlign w:val="center"/>
          </w:tcPr>
          <w:p>
            <w:pPr>
              <w:spacing w:after="0"/>
            </w:pPr>
            <w:r>
              <w:rPr>
                <w:b w:val="false"/>
                <w:bCs w:val="false"/>
                <w:color w:val="000000"/>
                <w:sz w:val="18"/>
                <w:szCs w:val="18"/>
              </w:rPr>
              <w:t xml:space="preserve">UUID</w:t>
            </w:r>
          </w:p>
        </w:tc>
        <w:tc>
          <w:tcPr>
            <w:tcW w:type="dxa" w:w="3800"/>
            <w:tcMar>
              <w:top w:type="dxa" w:w="60"/>
              <w:left w:type="dxa" w:w="100"/>
              <w:bottom w:type="dxa" w:w="60"/>
              <w:right w:type="dxa" w:w="100"/>
            </w:tcMar>
            <w:vAlign w:val="center"/>
          </w:tcPr>
          <w:p>
            <w:pPr>
              <w:spacing w:after="0"/>
            </w:pPr>
            <w:r>
              <w:rPr>
                <w:b w:val="false"/>
                <w:bCs w:val="false"/>
                <w:color w:val="000000"/>
                <w:sz w:val="18"/>
                <w:szCs w:val="18"/>
              </w:rPr>
              <w:t xml:space="preserve">Named shipper and consignee.</w:t>
            </w:r>
          </w:p>
        </w:tc>
        <w:tc>
          <w:tcPr>
            <w:tcW w:type="dxa" w:w="2340"/>
            <w:tcMar>
              <w:top w:type="dxa" w:w="60"/>
              <w:left w:type="dxa" w:w="100"/>
              <w:bottom w:type="dxa" w:w="60"/>
              <w:right w:type="dxa" w:w="100"/>
            </w:tcMar>
            <w:vAlign w:val="center"/>
          </w:tcPr>
          <w:p>
            <w:pPr>
              <w:spacing w:after="0"/>
            </w:pPr>
            <w:r>
              <w:rPr>
                <w:b w:val="false"/>
                <w:bCs w:val="false"/>
                <w:color w:val="000000"/>
                <w:sz w:val="18"/>
                <w:szCs w:val="18"/>
              </w:rPr>
              <w:t xml:space="preserve">FK → contacts.contact_id</w:t>
            </w:r>
          </w:p>
        </w:tc>
      </w:tr>
      <w:tr>
        <w:tc>
          <w:tcPr>
            <w:tcW w:type="dxa" w:w="20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origin_airport / destination_airport</w:t>
            </w:r>
          </w:p>
        </w:tc>
        <w:tc>
          <w:tcPr>
            <w:tcW w:type="dxa" w:w="15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CHAR(3)</w:t>
            </w:r>
          </w:p>
        </w:tc>
        <w:tc>
          <w:tcPr>
            <w:tcW w:type="dxa" w:w="38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Airport of departure / destination per the AWB.</w:t>
            </w:r>
          </w:p>
        </w:tc>
        <w:tc>
          <w:tcPr>
            <w:tcW w:type="dxa" w:w="23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FK → ref.airports.iata_code</w:t>
            </w:r>
          </w:p>
        </w:tc>
      </w:tr>
      <w:tr>
        <w:tc>
          <w:tcPr>
            <w:tcW w:type="dxa" w:w="2000"/>
            <w:tcMar>
              <w:top w:type="dxa" w:w="60"/>
              <w:left w:type="dxa" w:w="100"/>
              <w:bottom w:type="dxa" w:w="60"/>
              <w:right w:type="dxa" w:w="100"/>
            </w:tcMar>
            <w:vAlign w:val="center"/>
          </w:tcPr>
          <w:p>
            <w:pPr>
              <w:spacing w:after="0"/>
            </w:pPr>
            <w:r>
              <w:rPr>
                <w:b w:val="false"/>
                <w:bCs w:val="false"/>
                <w:color w:val="000000"/>
                <w:sz w:val="18"/>
                <w:szCs w:val="18"/>
              </w:rPr>
              <w:t xml:space="preserve">pieces / gross_weight_kg / chargeable_weight_kg</w:t>
            </w:r>
          </w:p>
        </w:tc>
        <w:tc>
          <w:tcPr>
            <w:tcW w:type="dxa" w:w="1500"/>
            <w:tcMar>
              <w:top w:type="dxa" w:w="60"/>
              <w:left w:type="dxa" w:w="100"/>
              <w:bottom w:type="dxa" w:w="60"/>
              <w:right w:type="dxa" w:w="100"/>
            </w:tcMar>
            <w:vAlign w:val="center"/>
          </w:tcPr>
          <w:p>
            <w:pPr>
              <w:spacing w:after="0"/>
            </w:pPr>
            <w:r>
              <w:rPr>
                <w:b w:val="false"/>
                <w:bCs w:val="false"/>
                <w:color w:val="000000"/>
                <w:sz w:val="18"/>
                <w:szCs w:val="18"/>
              </w:rPr>
              <w:t xml:space="preserve">INTEGER / DECIMAL(12,3)</w:t>
            </w:r>
          </w:p>
        </w:tc>
        <w:tc>
          <w:tcPr>
            <w:tcW w:type="dxa" w:w="3800"/>
            <w:tcMar>
              <w:top w:type="dxa" w:w="60"/>
              <w:left w:type="dxa" w:w="100"/>
              <w:bottom w:type="dxa" w:w="60"/>
              <w:right w:type="dxa" w:w="100"/>
            </w:tcMar>
            <w:vAlign w:val="center"/>
          </w:tcPr>
          <w:p>
            <w:pPr>
              <w:spacing w:after="0"/>
            </w:pPr>
            <w:r>
              <w:rPr>
                <w:b w:val="false"/>
                <w:bCs w:val="false"/>
                <w:color w:val="000000"/>
                <w:sz w:val="18"/>
                <w:szCs w:val="18"/>
              </w:rPr>
              <w:t xml:space="preserve">As declared on the AWB face.</w:t>
            </w:r>
          </w:p>
        </w:tc>
        <w:tc>
          <w:tcPr>
            <w:tcW w:type="dxa" w:w="2340"/>
            <w:tcMar>
              <w:top w:type="dxa" w:w="60"/>
              <w:left w:type="dxa" w:w="100"/>
              <w:bottom w:type="dxa" w:w="60"/>
              <w:right w:type="dxa" w:w="100"/>
            </w:tcMar>
            <w:vAlign w:val="center"/>
          </w:tcPr>
          <w:p>
            <w:pPr>
              <w:spacing w:after="0"/>
            </w:pPr>
            <w:r>
              <w:rPr>
                <w:b w:val="false"/>
                <w:bCs w:val="false"/>
                <w:color w:val="000000"/>
                <w:sz w:val="18"/>
                <w:szCs w:val="18"/>
              </w:rPr>
              <w:t xml:space="preserve"/>
            </w:r>
          </w:p>
        </w:tc>
      </w:tr>
      <w:tr>
        <w:tc>
          <w:tcPr>
            <w:tcW w:type="dxa" w:w="20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rate_class</w:t>
            </w:r>
          </w:p>
        </w:tc>
        <w:tc>
          <w:tcPr>
            <w:tcW w:type="dxa" w:w="15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ENUM</w:t>
            </w:r>
          </w:p>
        </w:tc>
        <w:tc>
          <w:tcPr>
            <w:tcW w:type="dxa" w:w="38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IATA rate class: M (minimum), N (normal/general), Q (quantity), C (specific commodity), U/E (ULD rate).</w:t>
            </w:r>
          </w:p>
        </w:tc>
        <w:tc>
          <w:tcPr>
            <w:tcW w:type="dxa" w:w="23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
            </w:r>
          </w:p>
        </w:tc>
      </w:tr>
      <w:tr>
        <w:tc>
          <w:tcPr>
            <w:tcW w:type="dxa" w:w="2000"/>
            <w:tcMar>
              <w:top w:type="dxa" w:w="60"/>
              <w:left w:type="dxa" w:w="100"/>
              <w:bottom w:type="dxa" w:w="60"/>
              <w:right w:type="dxa" w:w="100"/>
            </w:tcMar>
            <w:vAlign w:val="center"/>
          </w:tcPr>
          <w:p>
            <w:pPr>
              <w:spacing w:after="0"/>
            </w:pPr>
            <w:r>
              <w:rPr>
                <w:b w:val="false"/>
                <w:bCs w:val="false"/>
                <w:color w:val="000000"/>
                <w:sz w:val="18"/>
                <w:szCs w:val="18"/>
              </w:rPr>
              <w:t xml:space="preserve">declared_value_for_carriage</w:t>
            </w:r>
          </w:p>
        </w:tc>
        <w:tc>
          <w:tcPr>
            <w:tcW w:type="dxa" w:w="1500"/>
            <w:tcMar>
              <w:top w:type="dxa" w:w="60"/>
              <w:left w:type="dxa" w:w="100"/>
              <w:bottom w:type="dxa" w:w="60"/>
              <w:right w:type="dxa" w:w="100"/>
            </w:tcMar>
            <w:vAlign w:val="center"/>
          </w:tcPr>
          <w:p>
            <w:pPr>
              <w:spacing w:after="0"/>
            </w:pPr>
            <w:r>
              <w:rPr>
                <w:b w:val="false"/>
                <w:bCs w:val="false"/>
                <w:color w:val="000000"/>
                <w:sz w:val="18"/>
                <w:szCs w:val="18"/>
              </w:rPr>
              <w:t xml:space="preserve">DECIMAL(18,2)</w:t>
            </w:r>
          </w:p>
        </w:tc>
        <w:tc>
          <w:tcPr>
            <w:tcW w:type="dxa" w:w="3800"/>
            <w:tcMar>
              <w:top w:type="dxa" w:w="60"/>
              <w:left w:type="dxa" w:w="100"/>
              <w:bottom w:type="dxa" w:w="60"/>
              <w:right w:type="dxa" w:w="100"/>
            </w:tcMar>
            <w:vAlign w:val="center"/>
          </w:tcPr>
          <w:p>
            <w:pPr>
              <w:spacing w:after="0"/>
            </w:pPr>
            <w:r>
              <w:rPr>
                <w:b w:val="false"/>
                <w:bCs w:val="false"/>
                <w:color w:val="000000"/>
                <w:sz w:val="18"/>
                <w:szCs w:val="18"/>
              </w:rPr>
              <w:t xml:space="preserve">Shipper-declared value for carrier liability (NVD if none).</w:t>
            </w:r>
          </w:p>
        </w:tc>
        <w:tc>
          <w:tcPr>
            <w:tcW w:type="dxa" w:w="2340"/>
            <w:tcMar>
              <w:top w:type="dxa" w:w="60"/>
              <w:left w:type="dxa" w:w="100"/>
              <w:bottom w:type="dxa" w:w="60"/>
              <w:right w:type="dxa" w:w="100"/>
            </w:tcMar>
            <w:vAlign w:val="center"/>
          </w:tcPr>
          <w:p>
            <w:pPr>
              <w:spacing w:after="0"/>
            </w:pPr>
            <w:r>
              <w:rPr>
                <w:b w:val="false"/>
                <w:bCs w:val="false"/>
                <w:color w:val="000000"/>
                <w:sz w:val="18"/>
                <w:szCs w:val="18"/>
              </w:rPr>
              <w:t xml:space="preserve"/>
            </w:r>
          </w:p>
        </w:tc>
      </w:tr>
      <w:tr>
        <w:tc>
          <w:tcPr>
            <w:tcW w:type="dxa" w:w="20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declared_value_for_customs</w:t>
            </w:r>
          </w:p>
        </w:tc>
        <w:tc>
          <w:tcPr>
            <w:tcW w:type="dxa" w:w="15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DECIMAL(18,2)</w:t>
            </w:r>
          </w:p>
        </w:tc>
        <w:tc>
          <w:tcPr>
            <w:tcW w:type="dxa" w:w="38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Shipper-declared customs value (NCV if none).</w:t>
            </w:r>
          </w:p>
        </w:tc>
        <w:tc>
          <w:tcPr>
            <w:tcW w:type="dxa" w:w="23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
            </w:r>
          </w:p>
        </w:tc>
      </w:tr>
      <w:tr>
        <w:tc>
          <w:tcPr>
            <w:tcW w:type="dxa" w:w="2000"/>
            <w:tcMar>
              <w:top w:type="dxa" w:w="60"/>
              <w:left w:type="dxa" w:w="100"/>
              <w:bottom w:type="dxa" w:w="60"/>
              <w:right w:type="dxa" w:w="100"/>
            </w:tcMar>
            <w:vAlign w:val="center"/>
          </w:tcPr>
          <w:p>
            <w:pPr>
              <w:spacing w:after="0"/>
            </w:pPr>
            <w:r>
              <w:rPr>
                <w:b w:val="false"/>
                <w:bCs w:val="false"/>
                <w:color w:val="000000"/>
                <w:sz w:val="18"/>
                <w:szCs w:val="18"/>
              </w:rPr>
              <w:t xml:space="preserve">freight_terms</w:t>
            </w:r>
          </w:p>
        </w:tc>
        <w:tc>
          <w:tcPr>
            <w:tcW w:type="dxa" w:w="1500"/>
            <w:tcMar>
              <w:top w:type="dxa" w:w="60"/>
              <w:left w:type="dxa" w:w="100"/>
              <w:bottom w:type="dxa" w:w="60"/>
              <w:right w:type="dxa" w:w="100"/>
            </w:tcMar>
            <w:vAlign w:val="center"/>
          </w:tcPr>
          <w:p>
            <w:pPr>
              <w:spacing w:after="0"/>
            </w:pPr>
            <w:r>
              <w:rPr>
                <w:b w:val="false"/>
                <w:bCs w:val="false"/>
                <w:color w:val="000000"/>
                <w:sz w:val="18"/>
                <w:szCs w:val="18"/>
              </w:rPr>
              <w:t xml:space="preserve">ENUM</w:t>
            </w:r>
          </w:p>
        </w:tc>
        <w:tc>
          <w:tcPr>
            <w:tcW w:type="dxa" w:w="3800"/>
            <w:tcMar>
              <w:top w:type="dxa" w:w="60"/>
              <w:left w:type="dxa" w:w="100"/>
              <w:bottom w:type="dxa" w:w="60"/>
              <w:right w:type="dxa" w:w="100"/>
            </w:tcMar>
            <w:vAlign w:val="center"/>
          </w:tcPr>
          <w:p>
            <w:pPr>
              <w:spacing w:after="0"/>
            </w:pPr>
            <w:r>
              <w:rPr>
                <w:b w:val="false"/>
                <w:bCs w:val="false"/>
                <w:color w:val="000000"/>
                <w:sz w:val="18"/>
                <w:szCs w:val="18"/>
              </w:rPr>
              <w:t xml:space="preserve">Prepaid, Collect.</w:t>
            </w:r>
          </w:p>
        </w:tc>
        <w:tc>
          <w:tcPr>
            <w:tcW w:type="dxa" w:w="2340"/>
            <w:tcMar>
              <w:top w:type="dxa" w:w="60"/>
              <w:left w:type="dxa" w:w="100"/>
              <w:bottom w:type="dxa" w:w="60"/>
              <w:right w:type="dxa" w:w="100"/>
            </w:tcMar>
            <w:vAlign w:val="center"/>
          </w:tcPr>
          <w:p>
            <w:pPr>
              <w:spacing w:after="0"/>
            </w:pPr>
            <w:r>
              <w:rPr>
                <w:b w:val="false"/>
                <w:bCs w:val="false"/>
                <w:color w:val="000000"/>
                <w:sz w:val="18"/>
                <w:szCs w:val="18"/>
              </w:rPr>
              <w:t xml:space="preserve"/>
            </w:r>
          </w:p>
        </w:tc>
      </w:tr>
      <w:tr>
        <w:tc>
          <w:tcPr>
            <w:tcW w:type="dxa" w:w="20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weight_charge / other_charges / total_charges</w:t>
            </w:r>
          </w:p>
        </w:tc>
        <w:tc>
          <w:tcPr>
            <w:tcW w:type="dxa" w:w="15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DECIMAL(18,2)</w:t>
            </w:r>
          </w:p>
        </w:tc>
        <w:tc>
          <w:tcPr>
            <w:tcW w:type="dxa" w:w="38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Rated charges per the AWB.</w:t>
            </w:r>
          </w:p>
        </w:tc>
        <w:tc>
          <w:tcPr>
            <w:tcW w:type="dxa" w:w="23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
            </w:r>
          </w:p>
        </w:tc>
      </w:tr>
      <w:tr>
        <w:tc>
          <w:tcPr>
            <w:tcW w:type="dxa" w:w="2000"/>
            <w:tcMar>
              <w:top w:type="dxa" w:w="60"/>
              <w:left w:type="dxa" w:w="100"/>
              <w:bottom w:type="dxa" w:w="60"/>
              <w:right w:type="dxa" w:w="100"/>
            </w:tcMar>
            <w:vAlign w:val="center"/>
          </w:tcPr>
          <w:p>
            <w:pPr>
              <w:spacing w:after="0"/>
            </w:pPr>
            <w:r>
              <w:rPr>
                <w:b w:val="false"/>
                <w:bCs w:val="false"/>
                <w:color w:val="000000"/>
                <w:sz w:val="18"/>
                <w:szCs w:val="18"/>
              </w:rPr>
              <w:t xml:space="preserve">currency_code</w:t>
            </w:r>
          </w:p>
        </w:tc>
        <w:tc>
          <w:tcPr>
            <w:tcW w:type="dxa" w:w="1500"/>
            <w:tcMar>
              <w:top w:type="dxa" w:w="60"/>
              <w:left w:type="dxa" w:w="100"/>
              <w:bottom w:type="dxa" w:w="60"/>
              <w:right w:type="dxa" w:w="100"/>
            </w:tcMar>
            <w:vAlign w:val="center"/>
          </w:tcPr>
          <w:p>
            <w:pPr>
              <w:spacing w:after="0"/>
            </w:pPr>
            <w:r>
              <w:rPr>
                <w:b w:val="false"/>
                <w:bCs w:val="false"/>
                <w:color w:val="000000"/>
                <w:sz w:val="18"/>
                <w:szCs w:val="18"/>
              </w:rPr>
              <w:t xml:space="preserve">CHAR(3)</w:t>
            </w:r>
          </w:p>
        </w:tc>
        <w:tc>
          <w:tcPr>
            <w:tcW w:type="dxa" w:w="3800"/>
            <w:tcMar>
              <w:top w:type="dxa" w:w="60"/>
              <w:left w:type="dxa" w:w="100"/>
              <w:bottom w:type="dxa" w:w="60"/>
              <w:right w:type="dxa" w:w="100"/>
            </w:tcMar>
            <w:vAlign w:val="center"/>
          </w:tcPr>
          <w:p>
            <w:pPr>
              <w:spacing w:after="0"/>
            </w:pPr>
            <w:r>
              <w:rPr>
                <w:b w:val="false"/>
                <w:bCs w:val="false"/>
                <w:color w:val="000000"/>
                <w:sz w:val="18"/>
                <w:szCs w:val="18"/>
              </w:rPr>
              <w:t xml:space="preserve">Currency of all charge fields.</w:t>
            </w:r>
          </w:p>
        </w:tc>
        <w:tc>
          <w:tcPr>
            <w:tcW w:type="dxa" w:w="2340"/>
            <w:tcMar>
              <w:top w:type="dxa" w:w="60"/>
              <w:left w:type="dxa" w:w="100"/>
              <w:bottom w:type="dxa" w:w="60"/>
              <w:right w:type="dxa" w:w="100"/>
            </w:tcMar>
            <w:vAlign w:val="center"/>
          </w:tcPr>
          <w:p>
            <w:pPr>
              <w:spacing w:after="0"/>
            </w:pPr>
            <w:r>
              <w:rPr>
                <w:b w:val="false"/>
                <w:bCs w:val="false"/>
                <w:color w:val="000000"/>
                <w:sz w:val="18"/>
                <w:szCs w:val="18"/>
              </w:rPr>
              <w:t xml:space="preserve">FK → currency.code</w:t>
            </w:r>
          </w:p>
        </w:tc>
      </w:tr>
      <w:tr>
        <w:tc>
          <w:tcPr>
            <w:tcW w:type="dxa" w:w="20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fwb_status</w:t>
            </w:r>
          </w:p>
        </w:tc>
        <w:tc>
          <w:tcPr>
            <w:tcW w:type="dxa" w:w="15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ENUM</w:t>
            </w:r>
          </w:p>
        </w:tc>
        <w:tc>
          <w:tcPr>
            <w:tcW w:type="dxa" w:w="38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Not Transmitted, Transmitted, Acknowledged, Rejected — status of the Cargo-IMP/XML FWB message (§6.1).</w:t>
            </w:r>
          </w:p>
        </w:tc>
        <w:tc>
          <w:tcPr>
            <w:tcW w:type="dxa" w:w="23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
            </w:r>
          </w:p>
        </w:tc>
      </w:tr>
      <w:tr>
        <w:tc>
          <w:tcPr>
            <w:tcW w:type="dxa" w:w="2000"/>
            <w:tcMar>
              <w:top w:type="dxa" w:w="60"/>
              <w:left w:type="dxa" w:w="100"/>
              <w:bottom w:type="dxa" w:w="60"/>
              <w:right w:type="dxa" w:w="100"/>
            </w:tcMar>
            <w:vAlign w:val="center"/>
          </w:tcPr>
          <w:p>
            <w:pPr>
              <w:spacing w:after="0"/>
            </w:pPr>
            <w:r>
              <w:rPr>
                <w:b w:val="false"/>
                <w:bCs w:val="false"/>
                <w:color w:val="000000"/>
                <w:sz w:val="18"/>
                <w:szCs w:val="18"/>
              </w:rPr>
              <w:t xml:space="preserve">issued_at / issued_by</w:t>
            </w:r>
          </w:p>
        </w:tc>
        <w:tc>
          <w:tcPr>
            <w:tcW w:type="dxa" w:w="1500"/>
            <w:tcMar>
              <w:top w:type="dxa" w:w="60"/>
              <w:left w:type="dxa" w:w="100"/>
              <w:bottom w:type="dxa" w:w="60"/>
              <w:right w:type="dxa" w:w="100"/>
            </w:tcMar>
            <w:vAlign w:val="center"/>
          </w:tcPr>
          <w:p>
            <w:pPr>
              <w:spacing w:after="0"/>
            </w:pPr>
            <w:r>
              <w:rPr>
                <w:b w:val="false"/>
                <w:bCs w:val="false"/>
                <w:color w:val="000000"/>
                <w:sz w:val="18"/>
                <w:szCs w:val="18"/>
              </w:rPr>
              <w:t xml:space="preserve">TIMESTAMP / UUID</w:t>
            </w:r>
          </w:p>
        </w:tc>
        <w:tc>
          <w:tcPr>
            <w:tcW w:type="dxa" w:w="3800"/>
            <w:tcMar>
              <w:top w:type="dxa" w:w="60"/>
              <w:left w:type="dxa" w:w="100"/>
              <w:bottom w:type="dxa" w:w="60"/>
              <w:right w:type="dxa" w:w="100"/>
            </w:tcMar>
            <w:vAlign w:val="center"/>
          </w:tcPr>
          <w:p>
            <w:pPr>
              <w:spacing w:after="0"/>
            </w:pPr>
            <w:r>
              <w:rPr>
                <w:b w:val="false"/>
                <w:bCs w:val="false"/>
                <w:color w:val="000000"/>
                <w:sz w:val="18"/>
                <w:szCs w:val="18"/>
              </w:rPr>
              <w:t xml:space="preserve">Issuance timestamp and issuing user/agent.</w:t>
            </w:r>
          </w:p>
        </w:tc>
        <w:tc>
          <w:tcPr>
            <w:tcW w:type="dxa" w:w="2340"/>
            <w:tcMar>
              <w:top w:type="dxa" w:w="60"/>
              <w:left w:type="dxa" w:w="100"/>
              <w:bottom w:type="dxa" w:w="60"/>
              <w:right w:type="dxa" w:w="100"/>
            </w:tcMar>
            <w:vAlign w:val="center"/>
          </w:tcPr>
          <w:p>
            <w:pPr>
              <w:spacing w:after="0"/>
            </w:pPr>
            <w:r>
              <w:rPr>
                <w:b w:val="false"/>
                <w:bCs w:val="false"/>
                <w:color w:val="000000"/>
                <w:sz w:val="18"/>
                <w:szCs w:val="18"/>
              </w:rPr>
              <w:t xml:space="preserve">FK → users.user_id</w:t>
            </w:r>
          </w:p>
        </w:tc>
      </w:tr>
    </w:tbl>
    <w:p>
      <w:pPr>
        <w:spacing w:after="200"/>
      </w:pPr>
    </w:p>
    <w:p>
      <w:pPr>
        <w:pStyle w:val="Heading2"/>
        <w:spacing w:after="150" w:before="300"/>
      </w:pPr>
      <w:r>
        <w:t xml:space="preserve">3.4 Flight Manifest</w:t>
      </w:r>
    </w:p>
    <w:p>
      <w:pPr>
        <w:spacing w:after="160"/>
      </w:pPr>
      <w:r>
        <w:rPr>
          <w:i/>
          <w:iCs/>
          <w:color w:val="595959"/>
        </w:rPr>
        <w:t xml:space="preserve">logi.flight_manifests and logi.manifest_line_items — the carrier’s per-flight cargo manifest (FFM), listing every AWB uplifted.</w:t>
      </w:r>
    </w:p>
    <w:p>
      <w:pPr>
        <w:spacing w:after="40" w:before="240"/>
      </w:pPr>
      <w:r>
        <w:rPr>
          <w:b/>
          <w:bCs/>
          <w:sz w:val="22"/>
          <w:szCs w:val="22"/>
        </w:rPr>
        <w:t xml:space="preserve">Flight Manifest</w:t>
      </w:r>
      <w:r>
        <w:rPr>
          <w:i/>
          <w:iCs/>
          <w:color w:val="595959"/>
          <w:sz w:val="18"/>
          <w:szCs w:val="18"/>
        </w:rPr>
        <w:t xml:space="preserve">  logi.flight_manifests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800"/>
        <w:gridCol w:w="2340"/>
      </w:tblGrid>
      <w:tr>
        <w:trPr>
          <w:tblHeader/>
        </w:trPr>
        <w:tc>
          <w:tcPr>
            <w:tcW w:type="dxa" w:w="2000"/>
            <w:shd w:fill="1F3864" w:val="clear"/>
            <w:tcMar>
              <w:top w:type="dxa" w:w="80"/>
              <w:left w:type="dxa" w:w="100"/>
              <w:bottom w:type="dxa" w:w="80"/>
              <w:right w:type="dxa" w:w="100"/>
            </w:tcMar>
            <w:vAlign w:val="center"/>
          </w:tcPr>
          <w:p>
            <w:pPr>
              <w:spacing w:after="0"/>
            </w:pPr>
            <w:r>
              <w:rPr>
                <w:b/>
                <w:bCs/>
                <w:color w:val="FFFFFF"/>
                <w:sz w:val="18"/>
                <w:szCs w:val="18"/>
              </w:rPr>
              <w:t xml:space="preserve">Field</w:t>
            </w:r>
          </w:p>
        </w:tc>
        <w:tc>
          <w:tcPr>
            <w:tcW w:type="dxa" w:w="1500"/>
            <w:shd w:fill="1F3864" w:val="clear"/>
            <w:tcMar>
              <w:top w:type="dxa" w:w="80"/>
              <w:left w:type="dxa" w:w="100"/>
              <w:bottom w:type="dxa" w:w="80"/>
              <w:right w:type="dxa" w:w="100"/>
            </w:tcMar>
            <w:vAlign w:val="center"/>
          </w:tcPr>
          <w:p>
            <w:pPr>
              <w:spacing w:after="0"/>
            </w:pPr>
            <w:r>
              <w:rPr>
                <w:b/>
                <w:bCs/>
                <w:color w:val="FFFFFF"/>
                <w:sz w:val="18"/>
                <w:szCs w:val="18"/>
              </w:rPr>
              <w:t xml:space="preserve">Type</w:t>
            </w:r>
          </w:p>
        </w:tc>
        <w:tc>
          <w:tcPr>
            <w:tcW w:type="dxa" w:w="3800"/>
            <w:shd w:fill="1F3864" w:val="clear"/>
            <w:tcMar>
              <w:top w:type="dxa" w:w="80"/>
              <w:left w:type="dxa" w:w="100"/>
              <w:bottom w:type="dxa" w:w="80"/>
              <w:right w:type="dxa" w:w="100"/>
            </w:tcMar>
            <w:vAlign w:val="center"/>
          </w:tcPr>
          <w:p>
            <w:pPr>
              <w:spacing w:after="0"/>
            </w:pPr>
            <w:r>
              <w:rPr>
                <w:b/>
                <w:bCs/>
                <w:color w:val="FFFFFF"/>
                <w:sz w:val="18"/>
                <w:szCs w:val="18"/>
              </w:rPr>
              <w:t xml:space="preserve">Description</w:t>
            </w:r>
          </w:p>
        </w:tc>
        <w:tc>
          <w:tcPr>
            <w:tcW w:type="dxa" w:w="2340"/>
            <w:shd w:fill="1F3864" w:val="clear"/>
            <w:tcMar>
              <w:top w:type="dxa" w:w="80"/>
              <w:left w:type="dxa" w:w="100"/>
              <w:bottom w:type="dxa" w:w="80"/>
              <w:right w:type="dxa" w:w="100"/>
            </w:tcMar>
            <w:vAlign w:val="center"/>
          </w:tcPr>
          <w:p>
            <w:pPr>
              <w:spacing w:after="0"/>
            </w:pPr>
            <w:r>
              <w:rPr>
                <w:b/>
                <w:bCs/>
                <w:color w:val="FFFFFF"/>
                <w:sz w:val="18"/>
                <w:szCs w:val="18"/>
              </w:rPr>
              <w:t xml:space="preserve">Key / Relationship</w:t>
            </w:r>
          </w:p>
        </w:tc>
      </w:tr>
      <w:tr>
        <w:tc>
          <w:tcPr>
            <w:tcW w:type="dxa" w:w="2000"/>
            <w:tcMar>
              <w:top w:type="dxa" w:w="60"/>
              <w:left w:type="dxa" w:w="100"/>
              <w:bottom w:type="dxa" w:w="60"/>
              <w:right w:type="dxa" w:w="100"/>
            </w:tcMar>
            <w:vAlign w:val="center"/>
          </w:tcPr>
          <w:p>
            <w:pPr>
              <w:spacing w:after="0"/>
            </w:pPr>
            <w:r>
              <w:rPr>
                <w:b w:val="false"/>
                <w:bCs w:val="false"/>
                <w:color w:val="000000"/>
                <w:sz w:val="18"/>
                <w:szCs w:val="18"/>
              </w:rPr>
              <w:t xml:space="preserve">manifest_id</w:t>
            </w:r>
          </w:p>
        </w:tc>
        <w:tc>
          <w:tcPr>
            <w:tcW w:type="dxa" w:w="1500"/>
            <w:tcMar>
              <w:top w:type="dxa" w:w="60"/>
              <w:left w:type="dxa" w:w="100"/>
              <w:bottom w:type="dxa" w:w="60"/>
              <w:right w:type="dxa" w:w="100"/>
            </w:tcMar>
            <w:vAlign w:val="center"/>
          </w:tcPr>
          <w:p>
            <w:pPr>
              <w:spacing w:after="0"/>
            </w:pPr>
            <w:r>
              <w:rPr>
                <w:b w:val="false"/>
                <w:bCs w:val="false"/>
                <w:color w:val="000000"/>
                <w:sz w:val="18"/>
                <w:szCs w:val="18"/>
              </w:rPr>
              <w:t xml:space="preserve">UUID (PK)</w:t>
            </w:r>
          </w:p>
        </w:tc>
        <w:tc>
          <w:tcPr>
            <w:tcW w:type="dxa" w:w="3800"/>
            <w:tcMar>
              <w:top w:type="dxa" w:w="60"/>
              <w:left w:type="dxa" w:w="100"/>
              <w:bottom w:type="dxa" w:w="60"/>
              <w:right w:type="dxa" w:w="100"/>
            </w:tcMar>
            <w:vAlign w:val="center"/>
          </w:tcPr>
          <w:p>
            <w:pPr>
              <w:spacing w:after="0"/>
            </w:pPr>
            <w:r>
              <w:rPr>
                <w:b w:val="false"/>
                <w:bCs w:val="false"/>
                <w:color w:val="000000"/>
                <w:sz w:val="18"/>
                <w:szCs w:val="18"/>
              </w:rPr>
              <w:t xml:space="preserve">Primary key.</w:t>
            </w:r>
          </w:p>
        </w:tc>
        <w:tc>
          <w:tcPr>
            <w:tcW w:type="dxa" w:w="2340"/>
            <w:tcMar>
              <w:top w:type="dxa" w:w="60"/>
              <w:left w:type="dxa" w:w="100"/>
              <w:bottom w:type="dxa" w:w="60"/>
              <w:right w:type="dxa" w:w="100"/>
            </w:tcMar>
            <w:vAlign w:val="center"/>
          </w:tcPr>
          <w:p>
            <w:pPr>
              <w:spacing w:after="0"/>
            </w:pPr>
            <w:r>
              <w:rPr>
                <w:b w:val="false"/>
                <w:bCs w:val="false"/>
                <w:color w:val="000000"/>
                <w:sz w:val="18"/>
                <w:szCs w:val="18"/>
              </w:rPr>
              <w:t xml:space="preserve">PK</w:t>
            </w:r>
          </w:p>
        </w:tc>
      </w:tr>
      <w:tr>
        <w:tc>
          <w:tcPr>
            <w:tcW w:type="dxa" w:w="20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flight_number</w:t>
            </w:r>
          </w:p>
        </w:tc>
        <w:tc>
          <w:tcPr>
            <w:tcW w:type="dxa" w:w="15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VARCHAR(10)</w:t>
            </w:r>
          </w:p>
        </w:tc>
        <w:tc>
          <w:tcPr>
            <w:tcW w:type="dxa" w:w="38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Operating flight number, e.g. QR8410.</w:t>
            </w:r>
          </w:p>
        </w:tc>
        <w:tc>
          <w:tcPr>
            <w:tcW w:type="dxa" w:w="23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
            </w:r>
          </w:p>
        </w:tc>
      </w:tr>
      <w:tr>
        <w:tc>
          <w:tcPr>
            <w:tcW w:type="dxa" w:w="2000"/>
            <w:tcMar>
              <w:top w:type="dxa" w:w="60"/>
              <w:left w:type="dxa" w:w="100"/>
              <w:bottom w:type="dxa" w:w="60"/>
              <w:right w:type="dxa" w:w="100"/>
            </w:tcMar>
            <w:vAlign w:val="center"/>
          </w:tcPr>
          <w:p>
            <w:pPr>
              <w:spacing w:after="0"/>
            </w:pPr>
            <w:r>
              <w:rPr>
                <w:b w:val="false"/>
                <w:bCs w:val="false"/>
                <w:color w:val="000000"/>
                <w:sz w:val="18"/>
                <w:szCs w:val="18"/>
              </w:rPr>
              <w:t xml:space="preserve">flight_date</w:t>
            </w:r>
          </w:p>
        </w:tc>
        <w:tc>
          <w:tcPr>
            <w:tcW w:type="dxa" w:w="1500"/>
            <w:tcMar>
              <w:top w:type="dxa" w:w="60"/>
              <w:left w:type="dxa" w:w="100"/>
              <w:bottom w:type="dxa" w:w="60"/>
              <w:right w:type="dxa" w:w="100"/>
            </w:tcMar>
            <w:vAlign w:val="center"/>
          </w:tcPr>
          <w:p>
            <w:pPr>
              <w:spacing w:after="0"/>
            </w:pPr>
            <w:r>
              <w:rPr>
                <w:b w:val="false"/>
                <w:bCs w:val="false"/>
                <w:color w:val="000000"/>
                <w:sz w:val="18"/>
                <w:szCs w:val="18"/>
              </w:rPr>
              <w:t xml:space="preserve">DATE</w:t>
            </w:r>
          </w:p>
        </w:tc>
        <w:tc>
          <w:tcPr>
            <w:tcW w:type="dxa" w:w="3800"/>
            <w:tcMar>
              <w:top w:type="dxa" w:w="60"/>
              <w:left w:type="dxa" w:w="100"/>
              <w:bottom w:type="dxa" w:w="60"/>
              <w:right w:type="dxa" w:w="100"/>
            </w:tcMar>
            <w:vAlign w:val="center"/>
          </w:tcPr>
          <w:p>
            <w:pPr>
              <w:spacing w:after="0"/>
            </w:pPr>
            <w:r>
              <w:rPr>
                <w:b w:val="false"/>
                <w:bCs w:val="false"/>
                <w:color w:val="000000"/>
                <w:sz w:val="18"/>
                <w:szCs w:val="18"/>
              </w:rPr>
              <w:t xml:space="preserve">Scheduled departure date.</w:t>
            </w:r>
          </w:p>
        </w:tc>
        <w:tc>
          <w:tcPr>
            <w:tcW w:type="dxa" w:w="2340"/>
            <w:tcMar>
              <w:top w:type="dxa" w:w="60"/>
              <w:left w:type="dxa" w:w="100"/>
              <w:bottom w:type="dxa" w:w="60"/>
              <w:right w:type="dxa" w:w="100"/>
            </w:tcMar>
            <w:vAlign w:val="center"/>
          </w:tcPr>
          <w:p>
            <w:pPr>
              <w:spacing w:after="0"/>
            </w:pPr>
            <w:r>
              <w:rPr>
                <w:b w:val="false"/>
                <w:bCs w:val="false"/>
                <w:color w:val="000000"/>
                <w:sz w:val="18"/>
                <w:szCs w:val="18"/>
              </w:rPr>
              <w:t xml:space="preserve"/>
            </w:r>
          </w:p>
        </w:tc>
      </w:tr>
      <w:tr>
        <w:tc>
          <w:tcPr>
            <w:tcW w:type="dxa" w:w="20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carrier_id</w:t>
            </w:r>
          </w:p>
        </w:tc>
        <w:tc>
          <w:tcPr>
            <w:tcW w:type="dxa" w:w="15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UUID</w:t>
            </w:r>
          </w:p>
        </w:tc>
        <w:tc>
          <w:tcPr>
            <w:tcW w:type="dxa" w:w="38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Operating carrier.</w:t>
            </w:r>
          </w:p>
        </w:tc>
        <w:tc>
          <w:tcPr>
            <w:tcW w:type="dxa" w:w="23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FK → ref.carriers.carrier_id</w:t>
            </w:r>
          </w:p>
        </w:tc>
      </w:tr>
      <w:tr>
        <w:tc>
          <w:tcPr>
            <w:tcW w:type="dxa" w:w="2000"/>
            <w:tcMar>
              <w:top w:type="dxa" w:w="60"/>
              <w:left w:type="dxa" w:w="100"/>
              <w:bottom w:type="dxa" w:w="60"/>
              <w:right w:type="dxa" w:w="100"/>
            </w:tcMar>
            <w:vAlign w:val="center"/>
          </w:tcPr>
          <w:p>
            <w:pPr>
              <w:spacing w:after="0"/>
            </w:pPr>
            <w:r>
              <w:rPr>
                <w:b w:val="false"/>
                <w:bCs w:val="false"/>
                <w:color w:val="000000"/>
                <w:sz w:val="18"/>
                <w:szCs w:val="18"/>
              </w:rPr>
              <w:t xml:space="preserve">origin_airport / destination_airport</w:t>
            </w:r>
          </w:p>
        </w:tc>
        <w:tc>
          <w:tcPr>
            <w:tcW w:type="dxa" w:w="1500"/>
            <w:tcMar>
              <w:top w:type="dxa" w:w="60"/>
              <w:left w:type="dxa" w:w="100"/>
              <w:bottom w:type="dxa" w:w="60"/>
              <w:right w:type="dxa" w:w="100"/>
            </w:tcMar>
            <w:vAlign w:val="center"/>
          </w:tcPr>
          <w:p>
            <w:pPr>
              <w:spacing w:after="0"/>
            </w:pPr>
            <w:r>
              <w:rPr>
                <w:b w:val="false"/>
                <w:bCs w:val="false"/>
                <w:color w:val="000000"/>
                <w:sz w:val="18"/>
                <w:szCs w:val="18"/>
              </w:rPr>
              <w:t xml:space="preserve">CHAR(3)</w:t>
            </w:r>
          </w:p>
        </w:tc>
        <w:tc>
          <w:tcPr>
            <w:tcW w:type="dxa" w:w="3800"/>
            <w:tcMar>
              <w:top w:type="dxa" w:w="60"/>
              <w:left w:type="dxa" w:w="100"/>
              <w:bottom w:type="dxa" w:w="60"/>
              <w:right w:type="dxa" w:w="100"/>
            </w:tcMar>
            <w:vAlign w:val="center"/>
          </w:tcPr>
          <w:p>
            <w:pPr>
              <w:spacing w:after="0"/>
            </w:pPr>
            <w:r>
              <w:rPr>
                <w:b w:val="false"/>
                <w:bCs w:val="false"/>
                <w:color w:val="000000"/>
                <w:sz w:val="18"/>
                <w:szCs w:val="18"/>
              </w:rPr>
              <w:t xml:space="preserve">Flight leg covered by this manifest.</w:t>
            </w:r>
          </w:p>
        </w:tc>
        <w:tc>
          <w:tcPr>
            <w:tcW w:type="dxa" w:w="2340"/>
            <w:tcMar>
              <w:top w:type="dxa" w:w="60"/>
              <w:left w:type="dxa" w:w="100"/>
              <w:bottom w:type="dxa" w:w="60"/>
              <w:right w:type="dxa" w:w="100"/>
            </w:tcMar>
            <w:vAlign w:val="center"/>
          </w:tcPr>
          <w:p>
            <w:pPr>
              <w:spacing w:after="0"/>
            </w:pPr>
            <w:r>
              <w:rPr>
                <w:b w:val="false"/>
                <w:bCs w:val="false"/>
                <w:color w:val="000000"/>
                <w:sz w:val="18"/>
                <w:szCs w:val="18"/>
              </w:rPr>
              <w:t xml:space="preserve">FK → ref.airports.iata_code</w:t>
            </w:r>
          </w:p>
        </w:tc>
      </w:tr>
      <w:tr>
        <w:tc>
          <w:tcPr>
            <w:tcW w:type="dxa" w:w="20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status</w:t>
            </w:r>
          </w:p>
        </w:tc>
        <w:tc>
          <w:tcPr>
            <w:tcW w:type="dxa" w:w="15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ENUM</w:t>
            </w:r>
          </w:p>
        </w:tc>
        <w:tc>
          <w:tcPr>
            <w:tcW w:type="dxa" w:w="38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Draft, Filed, Departed, Closed.</w:t>
            </w:r>
          </w:p>
        </w:tc>
        <w:tc>
          <w:tcPr>
            <w:tcW w:type="dxa" w:w="23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
            </w:r>
          </w:p>
        </w:tc>
      </w:tr>
      <w:tr>
        <w:tc>
          <w:tcPr>
            <w:tcW w:type="dxa" w:w="2000"/>
            <w:tcMar>
              <w:top w:type="dxa" w:w="60"/>
              <w:left w:type="dxa" w:w="100"/>
              <w:bottom w:type="dxa" w:w="60"/>
              <w:right w:type="dxa" w:w="100"/>
            </w:tcMar>
            <w:vAlign w:val="center"/>
          </w:tcPr>
          <w:p>
            <w:pPr>
              <w:spacing w:after="0"/>
            </w:pPr>
            <w:r>
              <w:rPr>
                <w:b w:val="false"/>
                <w:bCs w:val="false"/>
                <w:color w:val="000000"/>
                <w:sz w:val="18"/>
                <w:szCs w:val="18"/>
              </w:rPr>
              <w:t xml:space="preserve">filed_at</w:t>
            </w:r>
          </w:p>
        </w:tc>
        <w:tc>
          <w:tcPr>
            <w:tcW w:type="dxa" w:w="1500"/>
            <w:tcMar>
              <w:top w:type="dxa" w:w="60"/>
              <w:left w:type="dxa" w:w="100"/>
              <w:bottom w:type="dxa" w:w="60"/>
              <w:right w:type="dxa" w:w="100"/>
            </w:tcMar>
            <w:vAlign w:val="center"/>
          </w:tcPr>
          <w:p>
            <w:pPr>
              <w:spacing w:after="0"/>
            </w:pPr>
            <w:r>
              <w:rPr>
                <w:b w:val="false"/>
                <w:bCs w:val="false"/>
                <w:color w:val="000000"/>
                <w:sz w:val="18"/>
                <w:szCs w:val="18"/>
              </w:rPr>
              <w:t xml:space="preserve">TIMESTAMP, nullable</w:t>
            </w:r>
          </w:p>
        </w:tc>
        <w:tc>
          <w:tcPr>
            <w:tcW w:type="dxa" w:w="3800"/>
            <w:tcMar>
              <w:top w:type="dxa" w:w="60"/>
              <w:left w:type="dxa" w:w="100"/>
              <w:bottom w:type="dxa" w:w="60"/>
              <w:right w:type="dxa" w:w="100"/>
            </w:tcMar>
            <w:vAlign w:val="center"/>
          </w:tcPr>
          <w:p>
            <w:pPr>
              <w:spacing w:after="0"/>
            </w:pPr>
            <w:r>
              <w:rPr>
                <w:b w:val="false"/>
                <w:bCs w:val="false"/>
                <w:color w:val="000000"/>
                <w:sz w:val="18"/>
                <w:szCs w:val="18"/>
              </w:rPr>
              <w:t xml:space="preserve">When the pre-departure customs manifest (e.g. AMS/ACE, ICS2) was filed.</w:t>
            </w:r>
          </w:p>
        </w:tc>
        <w:tc>
          <w:tcPr>
            <w:tcW w:type="dxa" w:w="2340"/>
            <w:tcMar>
              <w:top w:type="dxa" w:w="60"/>
              <w:left w:type="dxa" w:w="100"/>
              <w:bottom w:type="dxa" w:w="60"/>
              <w:right w:type="dxa" w:w="100"/>
            </w:tcMar>
            <w:vAlign w:val="center"/>
          </w:tcPr>
          <w:p>
            <w:pPr>
              <w:spacing w:after="0"/>
            </w:pPr>
            <w:r>
              <w:rPr>
                <w:b w:val="false"/>
                <w:bCs w:val="false"/>
                <w:color w:val="000000"/>
                <w:sz w:val="18"/>
                <w:szCs w:val="18"/>
              </w:rPr>
              <w:t xml:space="preserve"/>
            </w:r>
          </w:p>
        </w:tc>
      </w:tr>
      <w:tr>
        <w:tc>
          <w:tcPr>
            <w:tcW w:type="dxa" w:w="20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actual_departure_at / actual_arrival_at</w:t>
            </w:r>
          </w:p>
        </w:tc>
        <w:tc>
          <w:tcPr>
            <w:tcW w:type="dxa" w:w="15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TIMESTAMP, nullable</w:t>
            </w:r>
          </w:p>
        </w:tc>
        <w:tc>
          <w:tcPr>
            <w:tcW w:type="dxa" w:w="38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Populated from FSU DEP / ARR events (§3.6).</w:t>
            </w:r>
          </w:p>
        </w:tc>
        <w:tc>
          <w:tcPr>
            <w:tcW w:type="dxa" w:w="23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
            </w:r>
          </w:p>
        </w:tc>
      </w:tr>
    </w:tbl>
    <w:p>
      <w:pPr>
        <w:spacing w:after="200"/>
      </w:pPr>
    </w:p>
    <w:p>
      <w:pPr>
        <w:spacing w:after="40" w:before="240"/>
      </w:pPr>
      <w:r>
        <w:rPr>
          <w:b/>
          <w:bCs/>
          <w:sz w:val="22"/>
          <w:szCs w:val="22"/>
        </w:rPr>
        <w:t xml:space="preserve">Manifest Line Item</w:t>
      </w:r>
      <w:r>
        <w:rPr>
          <w:i/>
          <w:iCs/>
          <w:color w:val="595959"/>
          <w:sz w:val="18"/>
          <w:szCs w:val="18"/>
        </w:rPr>
        <w:t xml:space="preserve">  logi.manifest_line_items — join table between an AWB and the flight it travels 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800"/>
        <w:gridCol w:w="2340"/>
      </w:tblGrid>
      <w:tr>
        <w:trPr>
          <w:tblHeader/>
        </w:trPr>
        <w:tc>
          <w:tcPr>
            <w:tcW w:type="dxa" w:w="2000"/>
            <w:shd w:fill="1F3864" w:val="clear"/>
            <w:tcMar>
              <w:top w:type="dxa" w:w="80"/>
              <w:left w:type="dxa" w:w="100"/>
              <w:bottom w:type="dxa" w:w="80"/>
              <w:right w:type="dxa" w:w="100"/>
            </w:tcMar>
            <w:vAlign w:val="center"/>
          </w:tcPr>
          <w:p>
            <w:pPr>
              <w:spacing w:after="0"/>
            </w:pPr>
            <w:r>
              <w:rPr>
                <w:b/>
                <w:bCs/>
                <w:color w:val="FFFFFF"/>
                <w:sz w:val="18"/>
                <w:szCs w:val="18"/>
              </w:rPr>
              <w:t xml:space="preserve">Field</w:t>
            </w:r>
          </w:p>
        </w:tc>
        <w:tc>
          <w:tcPr>
            <w:tcW w:type="dxa" w:w="1500"/>
            <w:shd w:fill="1F3864" w:val="clear"/>
            <w:tcMar>
              <w:top w:type="dxa" w:w="80"/>
              <w:left w:type="dxa" w:w="100"/>
              <w:bottom w:type="dxa" w:w="80"/>
              <w:right w:type="dxa" w:w="100"/>
            </w:tcMar>
            <w:vAlign w:val="center"/>
          </w:tcPr>
          <w:p>
            <w:pPr>
              <w:spacing w:after="0"/>
            </w:pPr>
            <w:r>
              <w:rPr>
                <w:b/>
                <w:bCs/>
                <w:color w:val="FFFFFF"/>
                <w:sz w:val="18"/>
                <w:szCs w:val="18"/>
              </w:rPr>
              <w:t xml:space="preserve">Type</w:t>
            </w:r>
          </w:p>
        </w:tc>
        <w:tc>
          <w:tcPr>
            <w:tcW w:type="dxa" w:w="3800"/>
            <w:shd w:fill="1F3864" w:val="clear"/>
            <w:tcMar>
              <w:top w:type="dxa" w:w="80"/>
              <w:left w:type="dxa" w:w="100"/>
              <w:bottom w:type="dxa" w:w="80"/>
              <w:right w:type="dxa" w:w="100"/>
            </w:tcMar>
            <w:vAlign w:val="center"/>
          </w:tcPr>
          <w:p>
            <w:pPr>
              <w:spacing w:after="0"/>
            </w:pPr>
            <w:r>
              <w:rPr>
                <w:b/>
                <w:bCs/>
                <w:color w:val="FFFFFF"/>
                <w:sz w:val="18"/>
                <w:szCs w:val="18"/>
              </w:rPr>
              <w:t xml:space="preserve">Description</w:t>
            </w:r>
          </w:p>
        </w:tc>
        <w:tc>
          <w:tcPr>
            <w:tcW w:type="dxa" w:w="2340"/>
            <w:shd w:fill="1F3864" w:val="clear"/>
            <w:tcMar>
              <w:top w:type="dxa" w:w="80"/>
              <w:left w:type="dxa" w:w="100"/>
              <w:bottom w:type="dxa" w:w="80"/>
              <w:right w:type="dxa" w:w="100"/>
            </w:tcMar>
            <w:vAlign w:val="center"/>
          </w:tcPr>
          <w:p>
            <w:pPr>
              <w:spacing w:after="0"/>
            </w:pPr>
            <w:r>
              <w:rPr>
                <w:b/>
                <w:bCs/>
                <w:color w:val="FFFFFF"/>
                <w:sz w:val="18"/>
                <w:szCs w:val="18"/>
              </w:rPr>
              <w:t xml:space="preserve">Key / Relationship</w:t>
            </w:r>
          </w:p>
        </w:tc>
      </w:tr>
      <w:tr>
        <w:tc>
          <w:tcPr>
            <w:tcW w:type="dxa" w:w="2000"/>
            <w:tcMar>
              <w:top w:type="dxa" w:w="60"/>
              <w:left w:type="dxa" w:w="100"/>
              <w:bottom w:type="dxa" w:w="60"/>
              <w:right w:type="dxa" w:w="100"/>
            </w:tcMar>
            <w:vAlign w:val="center"/>
          </w:tcPr>
          <w:p>
            <w:pPr>
              <w:spacing w:after="0"/>
            </w:pPr>
            <w:r>
              <w:rPr>
                <w:b w:val="false"/>
                <w:bCs w:val="false"/>
                <w:color w:val="000000"/>
                <w:sz w:val="18"/>
                <w:szCs w:val="18"/>
              </w:rPr>
              <w:t xml:space="preserve">manifest_line_item_id</w:t>
            </w:r>
          </w:p>
        </w:tc>
        <w:tc>
          <w:tcPr>
            <w:tcW w:type="dxa" w:w="1500"/>
            <w:tcMar>
              <w:top w:type="dxa" w:w="60"/>
              <w:left w:type="dxa" w:w="100"/>
              <w:bottom w:type="dxa" w:w="60"/>
              <w:right w:type="dxa" w:w="100"/>
            </w:tcMar>
            <w:vAlign w:val="center"/>
          </w:tcPr>
          <w:p>
            <w:pPr>
              <w:spacing w:after="0"/>
            </w:pPr>
            <w:r>
              <w:rPr>
                <w:b w:val="false"/>
                <w:bCs w:val="false"/>
                <w:color w:val="000000"/>
                <w:sz w:val="18"/>
                <w:szCs w:val="18"/>
              </w:rPr>
              <w:t xml:space="preserve">UUID (PK)</w:t>
            </w:r>
          </w:p>
        </w:tc>
        <w:tc>
          <w:tcPr>
            <w:tcW w:type="dxa" w:w="3800"/>
            <w:tcMar>
              <w:top w:type="dxa" w:w="60"/>
              <w:left w:type="dxa" w:w="100"/>
              <w:bottom w:type="dxa" w:w="60"/>
              <w:right w:type="dxa" w:w="100"/>
            </w:tcMar>
            <w:vAlign w:val="center"/>
          </w:tcPr>
          <w:p>
            <w:pPr>
              <w:spacing w:after="0"/>
            </w:pPr>
            <w:r>
              <w:rPr>
                <w:b w:val="false"/>
                <w:bCs w:val="false"/>
                <w:color w:val="000000"/>
                <w:sz w:val="18"/>
                <w:szCs w:val="18"/>
              </w:rPr>
              <w:t xml:space="preserve">Primary key.</w:t>
            </w:r>
          </w:p>
        </w:tc>
        <w:tc>
          <w:tcPr>
            <w:tcW w:type="dxa" w:w="2340"/>
            <w:tcMar>
              <w:top w:type="dxa" w:w="60"/>
              <w:left w:type="dxa" w:w="100"/>
              <w:bottom w:type="dxa" w:w="60"/>
              <w:right w:type="dxa" w:w="100"/>
            </w:tcMar>
            <w:vAlign w:val="center"/>
          </w:tcPr>
          <w:p>
            <w:pPr>
              <w:spacing w:after="0"/>
            </w:pPr>
            <w:r>
              <w:rPr>
                <w:b w:val="false"/>
                <w:bCs w:val="false"/>
                <w:color w:val="000000"/>
                <w:sz w:val="18"/>
                <w:szCs w:val="18"/>
              </w:rPr>
              <w:t xml:space="preserve">PK</w:t>
            </w:r>
          </w:p>
        </w:tc>
      </w:tr>
      <w:tr>
        <w:tc>
          <w:tcPr>
            <w:tcW w:type="dxa" w:w="20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manifest_id</w:t>
            </w:r>
          </w:p>
        </w:tc>
        <w:tc>
          <w:tcPr>
            <w:tcW w:type="dxa" w:w="15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UUID</w:t>
            </w:r>
          </w:p>
        </w:tc>
        <w:tc>
          <w:tcPr>
            <w:tcW w:type="dxa" w:w="38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Parent flight manifest.</w:t>
            </w:r>
          </w:p>
        </w:tc>
        <w:tc>
          <w:tcPr>
            <w:tcW w:type="dxa" w:w="23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FK → logi.flight_manifests.manifest_id</w:t>
            </w:r>
          </w:p>
        </w:tc>
      </w:tr>
      <w:tr>
        <w:tc>
          <w:tcPr>
            <w:tcW w:type="dxa" w:w="2000"/>
            <w:tcMar>
              <w:top w:type="dxa" w:w="60"/>
              <w:left w:type="dxa" w:w="100"/>
              <w:bottom w:type="dxa" w:w="60"/>
              <w:right w:type="dxa" w:w="100"/>
            </w:tcMar>
            <w:vAlign w:val="center"/>
          </w:tcPr>
          <w:p>
            <w:pPr>
              <w:spacing w:after="0"/>
            </w:pPr>
            <w:r>
              <w:rPr>
                <w:b w:val="false"/>
                <w:bCs w:val="false"/>
                <w:color w:val="000000"/>
                <w:sz w:val="18"/>
                <w:szCs w:val="18"/>
              </w:rPr>
              <w:t xml:space="preserve">awb_id</w:t>
            </w:r>
          </w:p>
        </w:tc>
        <w:tc>
          <w:tcPr>
            <w:tcW w:type="dxa" w:w="1500"/>
            <w:tcMar>
              <w:top w:type="dxa" w:w="60"/>
              <w:left w:type="dxa" w:w="100"/>
              <w:bottom w:type="dxa" w:w="60"/>
              <w:right w:type="dxa" w:w="100"/>
            </w:tcMar>
            <w:vAlign w:val="center"/>
          </w:tcPr>
          <w:p>
            <w:pPr>
              <w:spacing w:after="0"/>
            </w:pPr>
            <w:r>
              <w:rPr>
                <w:b w:val="false"/>
                <w:bCs w:val="false"/>
                <w:color w:val="000000"/>
                <w:sz w:val="18"/>
                <w:szCs w:val="18"/>
              </w:rPr>
              <w:t xml:space="preserve">UUID</w:t>
            </w:r>
          </w:p>
        </w:tc>
        <w:tc>
          <w:tcPr>
            <w:tcW w:type="dxa" w:w="3800"/>
            <w:tcMar>
              <w:top w:type="dxa" w:w="60"/>
              <w:left w:type="dxa" w:w="100"/>
              <w:bottom w:type="dxa" w:w="60"/>
              <w:right w:type="dxa" w:w="100"/>
            </w:tcMar>
            <w:vAlign w:val="center"/>
          </w:tcPr>
          <w:p>
            <w:pPr>
              <w:spacing w:after="0"/>
            </w:pPr>
            <w:r>
              <w:rPr>
                <w:b w:val="false"/>
                <w:bCs w:val="false"/>
                <w:color w:val="000000"/>
                <w:sz w:val="18"/>
                <w:szCs w:val="18"/>
              </w:rPr>
              <w:t xml:space="preserve">AWB uplifted on this flight leg.</w:t>
            </w:r>
          </w:p>
        </w:tc>
        <w:tc>
          <w:tcPr>
            <w:tcW w:type="dxa" w:w="2340"/>
            <w:tcMar>
              <w:top w:type="dxa" w:w="60"/>
              <w:left w:type="dxa" w:w="100"/>
              <w:bottom w:type="dxa" w:w="60"/>
              <w:right w:type="dxa" w:w="100"/>
            </w:tcMar>
            <w:vAlign w:val="center"/>
          </w:tcPr>
          <w:p>
            <w:pPr>
              <w:spacing w:after="0"/>
            </w:pPr>
            <w:r>
              <w:rPr>
                <w:b w:val="false"/>
                <w:bCs w:val="false"/>
                <w:color w:val="000000"/>
                <w:sz w:val="18"/>
                <w:szCs w:val="18"/>
              </w:rPr>
              <w:t xml:space="preserve">FK → logi.air_waybills.awb_id</w:t>
            </w:r>
          </w:p>
        </w:tc>
      </w:tr>
      <w:tr>
        <w:tc>
          <w:tcPr>
            <w:tcW w:type="dxa" w:w="20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pieces_on_leg / weight_on_leg_kg</w:t>
            </w:r>
          </w:p>
        </w:tc>
        <w:tc>
          <w:tcPr>
            <w:tcW w:type="dxa" w:w="15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INTEGER / DECIMAL(12,3)</w:t>
            </w:r>
          </w:p>
        </w:tc>
        <w:tc>
          <w:tcPr>
            <w:tcW w:type="dxa" w:w="38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Supports split shipments carried across multiple flights.</w:t>
            </w:r>
          </w:p>
        </w:tc>
        <w:tc>
          <w:tcPr>
            <w:tcW w:type="dxa" w:w="23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
            </w:r>
          </w:p>
        </w:tc>
      </w:tr>
      <w:tr>
        <w:tc>
          <w:tcPr>
            <w:tcW w:type="dxa" w:w="2000"/>
            <w:tcMar>
              <w:top w:type="dxa" w:w="60"/>
              <w:left w:type="dxa" w:w="100"/>
              <w:bottom w:type="dxa" w:w="60"/>
              <w:right w:type="dxa" w:w="100"/>
            </w:tcMar>
            <w:vAlign w:val="center"/>
          </w:tcPr>
          <w:p>
            <w:pPr>
              <w:spacing w:after="0"/>
            </w:pPr>
            <w:r>
              <w:rPr>
                <w:b w:val="false"/>
                <w:bCs w:val="false"/>
                <w:color w:val="000000"/>
                <w:sz w:val="18"/>
                <w:szCs w:val="18"/>
              </w:rPr>
              <w:t xml:space="preserve">leg_sequence</w:t>
            </w:r>
          </w:p>
        </w:tc>
        <w:tc>
          <w:tcPr>
            <w:tcW w:type="dxa" w:w="1500"/>
            <w:tcMar>
              <w:top w:type="dxa" w:w="60"/>
              <w:left w:type="dxa" w:w="100"/>
              <w:bottom w:type="dxa" w:w="60"/>
              <w:right w:type="dxa" w:w="100"/>
            </w:tcMar>
            <w:vAlign w:val="center"/>
          </w:tcPr>
          <w:p>
            <w:pPr>
              <w:spacing w:after="0"/>
            </w:pPr>
            <w:r>
              <w:rPr>
                <w:b w:val="false"/>
                <w:bCs w:val="false"/>
                <w:color w:val="000000"/>
                <w:sz w:val="18"/>
                <w:szCs w:val="18"/>
              </w:rPr>
              <w:t xml:space="preserve">SMALLINT</w:t>
            </w:r>
          </w:p>
        </w:tc>
        <w:tc>
          <w:tcPr>
            <w:tcW w:type="dxa" w:w="3800"/>
            <w:tcMar>
              <w:top w:type="dxa" w:w="60"/>
              <w:left w:type="dxa" w:w="100"/>
              <w:bottom w:type="dxa" w:w="60"/>
              <w:right w:type="dxa" w:w="100"/>
            </w:tcMar>
            <w:vAlign w:val="center"/>
          </w:tcPr>
          <w:p>
            <w:pPr>
              <w:spacing w:after="0"/>
            </w:pPr>
            <w:r>
              <w:rPr>
                <w:b w:val="false"/>
                <w:bCs w:val="false"/>
                <w:color w:val="000000"/>
                <w:sz w:val="18"/>
                <w:szCs w:val="18"/>
              </w:rPr>
              <w:t xml:space="preserve">Leg number for multi-leg / interline routings.</w:t>
            </w:r>
          </w:p>
        </w:tc>
        <w:tc>
          <w:tcPr>
            <w:tcW w:type="dxa" w:w="2340"/>
            <w:tcMar>
              <w:top w:type="dxa" w:w="60"/>
              <w:left w:type="dxa" w:w="100"/>
              <w:bottom w:type="dxa" w:w="60"/>
              <w:right w:type="dxa" w:w="100"/>
            </w:tcMar>
            <w:vAlign w:val="center"/>
          </w:tcPr>
          <w:p>
            <w:pPr>
              <w:spacing w:after="0"/>
            </w:pPr>
            <w:r>
              <w:rPr>
                <w:b w:val="false"/>
                <w:bCs w:val="false"/>
                <w:color w:val="000000"/>
                <w:sz w:val="18"/>
                <w:szCs w:val="18"/>
              </w:rPr>
              <w:t xml:space="preserve"/>
            </w:r>
          </w:p>
        </w:tc>
      </w:tr>
    </w:tbl>
    <w:p>
      <w:pPr>
        <w:spacing w:after="200"/>
      </w:pPr>
    </w:p>
    <w:p>
      <w:pPr>
        <w:pStyle w:val="Heading2"/>
        <w:spacing w:after="150" w:before="300"/>
      </w:pPr>
      <w:r>
        <w:t xml:space="preserve">3.5 ULD (Unit Load Device)</w:t>
      </w:r>
    </w:p>
    <w:p>
      <w:pPr>
        <w:spacing w:after="160"/>
      </w:pPr>
      <w:r>
        <w:rPr>
          <w:i/>
          <w:iCs/>
          <w:color w:val="595959"/>
        </w:rPr>
        <w:t xml:space="preserve">logi.ulds and logi.uld_allocations — physical containers/pallets and the AWBs built into them.</w:t>
      </w:r>
    </w:p>
    <w:p>
      <w:pPr>
        <w:spacing w:after="40" w:before="240"/>
      </w:pPr>
      <w:r>
        <w:rPr>
          <w:b/>
          <w:bCs/>
          <w:sz w:val="22"/>
          <w:szCs w:val="22"/>
        </w:rPr>
        <w:t xml:space="preserve">ULD</w:t>
      </w:r>
      <w:r>
        <w:rPr>
          <w:i/>
          <w:iCs/>
          <w:color w:val="595959"/>
          <w:sz w:val="18"/>
          <w:szCs w:val="18"/>
        </w:rPr>
        <w:t xml:space="preserve">  logi.ulds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800"/>
        <w:gridCol w:w="2340"/>
      </w:tblGrid>
      <w:tr>
        <w:trPr>
          <w:tblHeader/>
        </w:trPr>
        <w:tc>
          <w:tcPr>
            <w:tcW w:type="dxa" w:w="2000"/>
            <w:shd w:fill="1F3864" w:val="clear"/>
            <w:tcMar>
              <w:top w:type="dxa" w:w="80"/>
              <w:left w:type="dxa" w:w="100"/>
              <w:bottom w:type="dxa" w:w="80"/>
              <w:right w:type="dxa" w:w="100"/>
            </w:tcMar>
            <w:vAlign w:val="center"/>
          </w:tcPr>
          <w:p>
            <w:pPr>
              <w:spacing w:after="0"/>
            </w:pPr>
            <w:r>
              <w:rPr>
                <w:b/>
                <w:bCs/>
                <w:color w:val="FFFFFF"/>
                <w:sz w:val="18"/>
                <w:szCs w:val="18"/>
              </w:rPr>
              <w:t xml:space="preserve">Field</w:t>
            </w:r>
          </w:p>
        </w:tc>
        <w:tc>
          <w:tcPr>
            <w:tcW w:type="dxa" w:w="1500"/>
            <w:shd w:fill="1F3864" w:val="clear"/>
            <w:tcMar>
              <w:top w:type="dxa" w:w="80"/>
              <w:left w:type="dxa" w:w="100"/>
              <w:bottom w:type="dxa" w:w="80"/>
              <w:right w:type="dxa" w:w="100"/>
            </w:tcMar>
            <w:vAlign w:val="center"/>
          </w:tcPr>
          <w:p>
            <w:pPr>
              <w:spacing w:after="0"/>
            </w:pPr>
            <w:r>
              <w:rPr>
                <w:b/>
                <w:bCs/>
                <w:color w:val="FFFFFF"/>
                <w:sz w:val="18"/>
                <w:szCs w:val="18"/>
              </w:rPr>
              <w:t xml:space="preserve">Type</w:t>
            </w:r>
          </w:p>
        </w:tc>
        <w:tc>
          <w:tcPr>
            <w:tcW w:type="dxa" w:w="3800"/>
            <w:shd w:fill="1F3864" w:val="clear"/>
            <w:tcMar>
              <w:top w:type="dxa" w:w="80"/>
              <w:left w:type="dxa" w:w="100"/>
              <w:bottom w:type="dxa" w:w="80"/>
              <w:right w:type="dxa" w:w="100"/>
            </w:tcMar>
            <w:vAlign w:val="center"/>
          </w:tcPr>
          <w:p>
            <w:pPr>
              <w:spacing w:after="0"/>
            </w:pPr>
            <w:r>
              <w:rPr>
                <w:b/>
                <w:bCs/>
                <w:color w:val="FFFFFF"/>
                <w:sz w:val="18"/>
                <w:szCs w:val="18"/>
              </w:rPr>
              <w:t xml:space="preserve">Description</w:t>
            </w:r>
          </w:p>
        </w:tc>
        <w:tc>
          <w:tcPr>
            <w:tcW w:type="dxa" w:w="2340"/>
            <w:shd w:fill="1F3864" w:val="clear"/>
            <w:tcMar>
              <w:top w:type="dxa" w:w="80"/>
              <w:left w:type="dxa" w:w="100"/>
              <w:bottom w:type="dxa" w:w="80"/>
              <w:right w:type="dxa" w:w="100"/>
            </w:tcMar>
            <w:vAlign w:val="center"/>
          </w:tcPr>
          <w:p>
            <w:pPr>
              <w:spacing w:after="0"/>
            </w:pPr>
            <w:r>
              <w:rPr>
                <w:b/>
                <w:bCs/>
                <w:color w:val="FFFFFF"/>
                <w:sz w:val="18"/>
                <w:szCs w:val="18"/>
              </w:rPr>
              <w:t xml:space="preserve">Key / Relationship</w:t>
            </w:r>
          </w:p>
        </w:tc>
      </w:tr>
      <w:tr>
        <w:tc>
          <w:tcPr>
            <w:tcW w:type="dxa" w:w="2000"/>
            <w:tcMar>
              <w:top w:type="dxa" w:w="60"/>
              <w:left w:type="dxa" w:w="100"/>
              <w:bottom w:type="dxa" w:w="60"/>
              <w:right w:type="dxa" w:w="100"/>
            </w:tcMar>
            <w:vAlign w:val="center"/>
          </w:tcPr>
          <w:p>
            <w:pPr>
              <w:spacing w:after="0"/>
            </w:pPr>
            <w:r>
              <w:rPr>
                <w:b w:val="false"/>
                <w:bCs w:val="false"/>
                <w:color w:val="000000"/>
                <w:sz w:val="18"/>
                <w:szCs w:val="18"/>
              </w:rPr>
              <w:t xml:space="preserve">uld_id</w:t>
            </w:r>
          </w:p>
        </w:tc>
        <w:tc>
          <w:tcPr>
            <w:tcW w:type="dxa" w:w="1500"/>
            <w:tcMar>
              <w:top w:type="dxa" w:w="60"/>
              <w:left w:type="dxa" w:w="100"/>
              <w:bottom w:type="dxa" w:w="60"/>
              <w:right w:type="dxa" w:w="100"/>
            </w:tcMar>
            <w:vAlign w:val="center"/>
          </w:tcPr>
          <w:p>
            <w:pPr>
              <w:spacing w:after="0"/>
            </w:pPr>
            <w:r>
              <w:rPr>
                <w:b w:val="false"/>
                <w:bCs w:val="false"/>
                <w:color w:val="000000"/>
                <w:sz w:val="18"/>
                <w:szCs w:val="18"/>
              </w:rPr>
              <w:t xml:space="preserve">UUID (PK)</w:t>
            </w:r>
          </w:p>
        </w:tc>
        <w:tc>
          <w:tcPr>
            <w:tcW w:type="dxa" w:w="3800"/>
            <w:tcMar>
              <w:top w:type="dxa" w:w="60"/>
              <w:left w:type="dxa" w:w="100"/>
              <w:bottom w:type="dxa" w:w="60"/>
              <w:right w:type="dxa" w:w="100"/>
            </w:tcMar>
            <w:vAlign w:val="center"/>
          </w:tcPr>
          <w:p>
            <w:pPr>
              <w:spacing w:after="0"/>
            </w:pPr>
            <w:r>
              <w:rPr>
                <w:b w:val="false"/>
                <w:bCs w:val="false"/>
                <w:color w:val="000000"/>
                <w:sz w:val="18"/>
                <w:szCs w:val="18"/>
              </w:rPr>
              <w:t xml:space="preserve">Primary key.</w:t>
            </w:r>
          </w:p>
        </w:tc>
        <w:tc>
          <w:tcPr>
            <w:tcW w:type="dxa" w:w="2340"/>
            <w:tcMar>
              <w:top w:type="dxa" w:w="60"/>
              <w:left w:type="dxa" w:w="100"/>
              <w:bottom w:type="dxa" w:w="60"/>
              <w:right w:type="dxa" w:w="100"/>
            </w:tcMar>
            <w:vAlign w:val="center"/>
          </w:tcPr>
          <w:p>
            <w:pPr>
              <w:spacing w:after="0"/>
            </w:pPr>
            <w:r>
              <w:rPr>
                <w:b w:val="false"/>
                <w:bCs w:val="false"/>
                <w:color w:val="000000"/>
                <w:sz w:val="18"/>
                <w:szCs w:val="18"/>
              </w:rPr>
              <w:t xml:space="preserve">PK</w:t>
            </w:r>
          </w:p>
        </w:tc>
      </w:tr>
      <w:tr>
        <w:tc>
          <w:tcPr>
            <w:tcW w:type="dxa" w:w="20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uld_number</w:t>
            </w:r>
          </w:p>
        </w:tc>
        <w:tc>
          <w:tcPr>
            <w:tcW w:type="dxa" w:w="15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VARCHAR(11)</w:t>
            </w:r>
          </w:p>
        </w:tc>
        <w:tc>
          <w:tcPr>
            <w:tcW w:type="dxa" w:w="38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IATA ULD identifier: 3-char type code + 5-digit serial + 3-char owner code, e.g. AKE12345QR.</w:t>
            </w:r>
          </w:p>
        </w:tc>
        <w:tc>
          <w:tcPr>
            <w:tcW w:type="dxa" w:w="23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Unique</w:t>
            </w:r>
          </w:p>
        </w:tc>
      </w:tr>
      <w:tr>
        <w:tc>
          <w:tcPr>
            <w:tcW w:type="dxa" w:w="2000"/>
            <w:tcMar>
              <w:top w:type="dxa" w:w="60"/>
              <w:left w:type="dxa" w:w="100"/>
              <w:bottom w:type="dxa" w:w="60"/>
              <w:right w:type="dxa" w:w="100"/>
            </w:tcMar>
            <w:vAlign w:val="center"/>
          </w:tcPr>
          <w:p>
            <w:pPr>
              <w:spacing w:after="0"/>
            </w:pPr>
            <w:r>
              <w:rPr>
                <w:b w:val="false"/>
                <w:bCs w:val="false"/>
                <w:color w:val="000000"/>
                <w:sz w:val="18"/>
                <w:szCs w:val="18"/>
              </w:rPr>
              <w:t xml:space="preserve">uld_type</w:t>
            </w:r>
          </w:p>
        </w:tc>
        <w:tc>
          <w:tcPr>
            <w:tcW w:type="dxa" w:w="1500"/>
            <w:tcMar>
              <w:top w:type="dxa" w:w="60"/>
              <w:left w:type="dxa" w:w="100"/>
              <w:bottom w:type="dxa" w:w="60"/>
              <w:right w:type="dxa" w:w="100"/>
            </w:tcMar>
            <w:vAlign w:val="center"/>
          </w:tcPr>
          <w:p>
            <w:pPr>
              <w:spacing w:after="0"/>
            </w:pPr>
            <w:r>
              <w:rPr>
                <w:b w:val="false"/>
                <w:bCs w:val="false"/>
                <w:color w:val="000000"/>
                <w:sz w:val="18"/>
                <w:szCs w:val="18"/>
              </w:rPr>
              <w:t xml:space="preserve">ENUM</w:t>
            </w:r>
          </w:p>
        </w:tc>
        <w:tc>
          <w:tcPr>
            <w:tcW w:type="dxa" w:w="3800"/>
            <w:tcMar>
              <w:top w:type="dxa" w:w="60"/>
              <w:left w:type="dxa" w:w="100"/>
              <w:bottom w:type="dxa" w:w="60"/>
              <w:right w:type="dxa" w:w="100"/>
            </w:tcMar>
            <w:vAlign w:val="center"/>
          </w:tcPr>
          <w:p>
            <w:pPr>
              <w:spacing w:after="0"/>
            </w:pPr>
            <w:r>
              <w:rPr>
                <w:b w:val="false"/>
                <w:bCs w:val="false"/>
                <w:color w:val="000000"/>
                <w:sz w:val="18"/>
                <w:szCs w:val="18"/>
              </w:rPr>
              <w:t xml:space="preserve">AKE, AKH, PMC, PAG, PLA, and other IATA ULD type codes.</w:t>
            </w:r>
          </w:p>
        </w:tc>
        <w:tc>
          <w:tcPr>
            <w:tcW w:type="dxa" w:w="2340"/>
            <w:tcMar>
              <w:top w:type="dxa" w:w="60"/>
              <w:left w:type="dxa" w:w="100"/>
              <w:bottom w:type="dxa" w:w="60"/>
              <w:right w:type="dxa" w:w="100"/>
            </w:tcMar>
            <w:vAlign w:val="center"/>
          </w:tcPr>
          <w:p>
            <w:pPr>
              <w:spacing w:after="0"/>
            </w:pPr>
            <w:r>
              <w:rPr>
                <w:b w:val="false"/>
                <w:bCs w:val="false"/>
                <w:color w:val="000000"/>
                <w:sz w:val="18"/>
                <w:szCs w:val="18"/>
              </w:rPr>
              <w:t xml:space="preserve"/>
            </w:r>
          </w:p>
        </w:tc>
      </w:tr>
      <w:tr>
        <w:tc>
          <w:tcPr>
            <w:tcW w:type="dxa" w:w="20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owner_code</w:t>
            </w:r>
          </w:p>
        </w:tc>
        <w:tc>
          <w:tcPr>
            <w:tcW w:type="dxa" w:w="15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CHAR(3)</w:t>
            </w:r>
          </w:p>
        </w:tc>
        <w:tc>
          <w:tcPr>
            <w:tcW w:type="dxa" w:w="38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IATA owner/operator code for the ULD.</w:t>
            </w:r>
          </w:p>
        </w:tc>
        <w:tc>
          <w:tcPr>
            <w:tcW w:type="dxa" w:w="23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
            </w:r>
          </w:p>
        </w:tc>
      </w:tr>
      <w:tr>
        <w:tc>
          <w:tcPr>
            <w:tcW w:type="dxa" w:w="2000"/>
            <w:tcMar>
              <w:top w:type="dxa" w:w="60"/>
              <w:left w:type="dxa" w:w="100"/>
              <w:bottom w:type="dxa" w:w="60"/>
              <w:right w:type="dxa" w:w="100"/>
            </w:tcMar>
            <w:vAlign w:val="center"/>
          </w:tcPr>
          <w:p>
            <w:pPr>
              <w:spacing w:after="0"/>
            </w:pPr>
            <w:r>
              <w:rPr>
                <w:b w:val="false"/>
                <w:bCs w:val="false"/>
                <w:color w:val="000000"/>
                <w:sz w:val="18"/>
                <w:szCs w:val="18"/>
              </w:rPr>
              <w:t xml:space="preserve">tare_weight_kg / max_gross_weight_kg</w:t>
            </w:r>
          </w:p>
        </w:tc>
        <w:tc>
          <w:tcPr>
            <w:tcW w:type="dxa" w:w="1500"/>
            <w:tcMar>
              <w:top w:type="dxa" w:w="60"/>
              <w:left w:type="dxa" w:w="100"/>
              <w:bottom w:type="dxa" w:w="60"/>
              <w:right w:type="dxa" w:w="100"/>
            </w:tcMar>
            <w:vAlign w:val="center"/>
          </w:tcPr>
          <w:p>
            <w:pPr>
              <w:spacing w:after="0"/>
            </w:pPr>
            <w:r>
              <w:rPr>
                <w:b w:val="false"/>
                <w:bCs w:val="false"/>
                <w:color w:val="000000"/>
                <w:sz w:val="18"/>
                <w:szCs w:val="18"/>
              </w:rPr>
              <w:t xml:space="preserve">DECIMAL(10,2)</w:t>
            </w:r>
          </w:p>
        </w:tc>
        <w:tc>
          <w:tcPr>
            <w:tcW w:type="dxa" w:w="3800"/>
            <w:tcMar>
              <w:top w:type="dxa" w:w="60"/>
              <w:left w:type="dxa" w:w="100"/>
              <w:bottom w:type="dxa" w:w="60"/>
              <w:right w:type="dxa" w:w="100"/>
            </w:tcMar>
            <w:vAlign w:val="center"/>
          </w:tcPr>
          <w:p>
            <w:pPr>
              <w:spacing w:after="0"/>
            </w:pPr>
            <w:r>
              <w:rPr>
                <w:b w:val="false"/>
                <w:bCs w:val="false"/>
                <w:color w:val="000000"/>
                <w:sz w:val="18"/>
                <w:szCs w:val="18"/>
              </w:rPr>
              <w:t xml:space="preserve">Empty weight and structural weight limit.</w:t>
            </w:r>
          </w:p>
        </w:tc>
        <w:tc>
          <w:tcPr>
            <w:tcW w:type="dxa" w:w="2340"/>
            <w:tcMar>
              <w:top w:type="dxa" w:w="60"/>
              <w:left w:type="dxa" w:w="100"/>
              <w:bottom w:type="dxa" w:w="60"/>
              <w:right w:type="dxa" w:w="100"/>
            </w:tcMar>
            <w:vAlign w:val="center"/>
          </w:tcPr>
          <w:p>
            <w:pPr>
              <w:spacing w:after="0"/>
            </w:pPr>
            <w:r>
              <w:rPr>
                <w:b w:val="false"/>
                <w:bCs w:val="false"/>
                <w:color w:val="000000"/>
                <w:sz w:val="18"/>
                <w:szCs w:val="18"/>
              </w:rPr>
              <w:t xml:space="preserve"/>
            </w:r>
          </w:p>
        </w:tc>
      </w:tr>
      <w:tr>
        <w:tc>
          <w:tcPr>
            <w:tcW w:type="dxa" w:w="20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current_location</w:t>
            </w:r>
          </w:p>
        </w:tc>
        <w:tc>
          <w:tcPr>
            <w:tcW w:type="dxa" w:w="15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VARCHAR(20)</w:t>
            </w:r>
          </w:p>
        </w:tc>
        <w:tc>
          <w:tcPr>
            <w:tcW w:type="dxa" w:w="38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Airport or warehouse code where the ULD currently sits.</w:t>
            </w:r>
          </w:p>
        </w:tc>
        <w:tc>
          <w:tcPr>
            <w:tcW w:type="dxa" w:w="23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FK → ref.airports.iata_code</w:t>
            </w:r>
          </w:p>
        </w:tc>
      </w:tr>
      <w:tr>
        <w:tc>
          <w:tcPr>
            <w:tcW w:type="dxa" w:w="2000"/>
            <w:tcMar>
              <w:top w:type="dxa" w:w="60"/>
              <w:left w:type="dxa" w:w="100"/>
              <w:bottom w:type="dxa" w:w="60"/>
              <w:right w:type="dxa" w:w="100"/>
            </w:tcMar>
            <w:vAlign w:val="center"/>
          </w:tcPr>
          <w:p>
            <w:pPr>
              <w:spacing w:after="0"/>
            </w:pPr>
            <w:r>
              <w:rPr>
                <w:b w:val="false"/>
                <w:bCs w:val="false"/>
                <w:color w:val="000000"/>
                <w:sz w:val="18"/>
                <w:szCs w:val="18"/>
              </w:rPr>
              <w:t xml:space="preserve">status</w:t>
            </w:r>
          </w:p>
        </w:tc>
        <w:tc>
          <w:tcPr>
            <w:tcW w:type="dxa" w:w="1500"/>
            <w:tcMar>
              <w:top w:type="dxa" w:w="60"/>
              <w:left w:type="dxa" w:w="100"/>
              <w:bottom w:type="dxa" w:w="60"/>
              <w:right w:type="dxa" w:w="100"/>
            </w:tcMar>
            <w:vAlign w:val="center"/>
          </w:tcPr>
          <w:p>
            <w:pPr>
              <w:spacing w:after="0"/>
            </w:pPr>
            <w:r>
              <w:rPr>
                <w:b w:val="false"/>
                <w:bCs w:val="false"/>
                <w:color w:val="000000"/>
                <w:sz w:val="18"/>
                <w:szCs w:val="18"/>
              </w:rPr>
              <w:t xml:space="preserve">ENUM</w:t>
            </w:r>
          </w:p>
        </w:tc>
        <w:tc>
          <w:tcPr>
            <w:tcW w:type="dxa" w:w="3800"/>
            <w:tcMar>
              <w:top w:type="dxa" w:w="60"/>
              <w:left w:type="dxa" w:w="100"/>
              <w:bottom w:type="dxa" w:w="60"/>
              <w:right w:type="dxa" w:w="100"/>
            </w:tcMar>
            <w:vAlign w:val="center"/>
          </w:tcPr>
          <w:p>
            <w:pPr>
              <w:spacing w:after="0"/>
            </w:pPr>
            <w:r>
              <w:rPr>
                <w:b w:val="false"/>
                <w:bCs w:val="false"/>
                <w:color w:val="000000"/>
                <w:sz w:val="18"/>
                <w:szCs w:val="18"/>
              </w:rPr>
              <w:t xml:space="preserve">Available, Build-Up in Progress, Built-Up, Loaded, In Transit, Empty Return, Damaged, Under Repair.</w:t>
            </w:r>
          </w:p>
        </w:tc>
        <w:tc>
          <w:tcPr>
            <w:tcW w:type="dxa" w:w="2340"/>
            <w:tcMar>
              <w:top w:type="dxa" w:w="60"/>
              <w:left w:type="dxa" w:w="100"/>
              <w:bottom w:type="dxa" w:w="60"/>
              <w:right w:type="dxa" w:w="100"/>
            </w:tcMar>
            <w:vAlign w:val="center"/>
          </w:tcPr>
          <w:p>
            <w:pPr>
              <w:spacing w:after="0"/>
            </w:pPr>
            <w:r>
              <w:rPr>
                <w:b w:val="false"/>
                <w:bCs w:val="false"/>
                <w:color w:val="000000"/>
                <w:sz w:val="18"/>
                <w:szCs w:val="18"/>
              </w:rPr>
              <w:t xml:space="preserve"/>
            </w:r>
          </w:p>
        </w:tc>
      </w:tr>
    </w:tbl>
    <w:p>
      <w:pPr>
        <w:spacing w:after="200"/>
      </w:pPr>
    </w:p>
    <w:p>
      <w:pPr>
        <w:spacing w:after="40" w:before="240"/>
      </w:pPr>
      <w:r>
        <w:rPr>
          <w:b/>
          <w:bCs/>
          <w:sz w:val="22"/>
          <w:szCs w:val="22"/>
        </w:rPr>
        <w:t xml:space="preserve">ULD Allocation</w:t>
      </w:r>
      <w:r>
        <w:rPr>
          <w:i/>
          <w:iCs/>
          <w:color w:val="595959"/>
          <w:sz w:val="18"/>
          <w:szCs w:val="18"/>
        </w:rPr>
        <w:t xml:space="preserve">  logi.uld_allocations — many-to-many join between ULDs and the AWBs built into them</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800"/>
        <w:gridCol w:w="2340"/>
      </w:tblGrid>
      <w:tr>
        <w:trPr>
          <w:tblHeader/>
        </w:trPr>
        <w:tc>
          <w:tcPr>
            <w:tcW w:type="dxa" w:w="2000"/>
            <w:shd w:fill="1F3864" w:val="clear"/>
            <w:tcMar>
              <w:top w:type="dxa" w:w="80"/>
              <w:left w:type="dxa" w:w="100"/>
              <w:bottom w:type="dxa" w:w="80"/>
              <w:right w:type="dxa" w:w="100"/>
            </w:tcMar>
            <w:vAlign w:val="center"/>
          </w:tcPr>
          <w:p>
            <w:pPr>
              <w:spacing w:after="0"/>
            </w:pPr>
            <w:r>
              <w:rPr>
                <w:b/>
                <w:bCs/>
                <w:color w:val="FFFFFF"/>
                <w:sz w:val="18"/>
                <w:szCs w:val="18"/>
              </w:rPr>
              <w:t xml:space="preserve">Field</w:t>
            </w:r>
          </w:p>
        </w:tc>
        <w:tc>
          <w:tcPr>
            <w:tcW w:type="dxa" w:w="1500"/>
            <w:shd w:fill="1F3864" w:val="clear"/>
            <w:tcMar>
              <w:top w:type="dxa" w:w="80"/>
              <w:left w:type="dxa" w:w="100"/>
              <w:bottom w:type="dxa" w:w="80"/>
              <w:right w:type="dxa" w:w="100"/>
            </w:tcMar>
            <w:vAlign w:val="center"/>
          </w:tcPr>
          <w:p>
            <w:pPr>
              <w:spacing w:after="0"/>
            </w:pPr>
            <w:r>
              <w:rPr>
                <w:b/>
                <w:bCs/>
                <w:color w:val="FFFFFF"/>
                <w:sz w:val="18"/>
                <w:szCs w:val="18"/>
              </w:rPr>
              <w:t xml:space="preserve">Type</w:t>
            </w:r>
          </w:p>
        </w:tc>
        <w:tc>
          <w:tcPr>
            <w:tcW w:type="dxa" w:w="3800"/>
            <w:shd w:fill="1F3864" w:val="clear"/>
            <w:tcMar>
              <w:top w:type="dxa" w:w="80"/>
              <w:left w:type="dxa" w:w="100"/>
              <w:bottom w:type="dxa" w:w="80"/>
              <w:right w:type="dxa" w:w="100"/>
            </w:tcMar>
            <w:vAlign w:val="center"/>
          </w:tcPr>
          <w:p>
            <w:pPr>
              <w:spacing w:after="0"/>
            </w:pPr>
            <w:r>
              <w:rPr>
                <w:b/>
                <w:bCs/>
                <w:color w:val="FFFFFF"/>
                <w:sz w:val="18"/>
                <w:szCs w:val="18"/>
              </w:rPr>
              <w:t xml:space="preserve">Description</w:t>
            </w:r>
          </w:p>
        </w:tc>
        <w:tc>
          <w:tcPr>
            <w:tcW w:type="dxa" w:w="2340"/>
            <w:shd w:fill="1F3864" w:val="clear"/>
            <w:tcMar>
              <w:top w:type="dxa" w:w="80"/>
              <w:left w:type="dxa" w:w="100"/>
              <w:bottom w:type="dxa" w:w="80"/>
              <w:right w:type="dxa" w:w="100"/>
            </w:tcMar>
            <w:vAlign w:val="center"/>
          </w:tcPr>
          <w:p>
            <w:pPr>
              <w:spacing w:after="0"/>
            </w:pPr>
            <w:r>
              <w:rPr>
                <w:b/>
                <w:bCs/>
                <w:color w:val="FFFFFF"/>
                <w:sz w:val="18"/>
                <w:szCs w:val="18"/>
              </w:rPr>
              <w:t xml:space="preserve">Key / Relationship</w:t>
            </w:r>
          </w:p>
        </w:tc>
      </w:tr>
      <w:tr>
        <w:tc>
          <w:tcPr>
            <w:tcW w:type="dxa" w:w="2000"/>
            <w:tcMar>
              <w:top w:type="dxa" w:w="60"/>
              <w:left w:type="dxa" w:w="100"/>
              <w:bottom w:type="dxa" w:w="60"/>
              <w:right w:type="dxa" w:w="100"/>
            </w:tcMar>
            <w:vAlign w:val="center"/>
          </w:tcPr>
          <w:p>
            <w:pPr>
              <w:spacing w:after="0"/>
            </w:pPr>
            <w:r>
              <w:rPr>
                <w:b w:val="false"/>
                <w:bCs w:val="false"/>
                <w:color w:val="000000"/>
                <w:sz w:val="18"/>
                <w:szCs w:val="18"/>
              </w:rPr>
              <w:t xml:space="preserve">uld_allocation_id</w:t>
            </w:r>
          </w:p>
        </w:tc>
        <w:tc>
          <w:tcPr>
            <w:tcW w:type="dxa" w:w="1500"/>
            <w:tcMar>
              <w:top w:type="dxa" w:w="60"/>
              <w:left w:type="dxa" w:w="100"/>
              <w:bottom w:type="dxa" w:w="60"/>
              <w:right w:type="dxa" w:w="100"/>
            </w:tcMar>
            <w:vAlign w:val="center"/>
          </w:tcPr>
          <w:p>
            <w:pPr>
              <w:spacing w:after="0"/>
            </w:pPr>
            <w:r>
              <w:rPr>
                <w:b w:val="false"/>
                <w:bCs w:val="false"/>
                <w:color w:val="000000"/>
                <w:sz w:val="18"/>
                <w:szCs w:val="18"/>
              </w:rPr>
              <w:t xml:space="preserve">UUID (PK)</w:t>
            </w:r>
          </w:p>
        </w:tc>
        <w:tc>
          <w:tcPr>
            <w:tcW w:type="dxa" w:w="3800"/>
            <w:tcMar>
              <w:top w:type="dxa" w:w="60"/>
              <w:left w:type="dxa" w:w="100"/>
              <w:bottom w:type="dxa" w:w="60"/>
              <w:right w:type="dxa" w:w="100"/>
            </w:tcMar>
            <w:vAlign w:val="center"/>
          </w:tcPr>
          <w:p>
            <w:pPr>
              <w:spacing w:after="0"/>
            </w:pPr>
            <w:r>
              <w:rPr>
                <w:b w:val="false"/>
                <w:bCs w:val="false"/>
                <w:color w:val="000000"/>
                <w:sz w:val="18"/>
                <w:szCs w:val="18"/>
              </w:rPr>
              <w:t xml:space="preserve">Primary key.</w:t>
            </w:r>
          </w:p>
        </w:tc>
        <w:tc>
          <w:tcPr>
            <w:tcW w:type="dxa" w:w="2340"/>
            <w:tcMar>
              <w:top w:type="dxa" w:w="60"/>
              <w:left w:type="dxa" w:w="100"/>
              <w:bottom w:type="dxa" w:w="60"/>
              <w:right w:type="dxa" w:w="100"/>
            </w:tcMar>
            <w:vAlign w:val="center"/>
          </w:tcPr>
          <w:p>
            <w:pPr>
              <w:spacing w:after="0"/>
            </w:pPr>
            <w:r>
              <w:rPr>
                <w:b w:val="false"/>
                <w:bCs w:val="false"/>
                <w:color w:val="000000"/>
                <w:sz w:val="18"/>
                <w:szCs w:val="18"/>
              </w:rPr>
              <w:t xml:space="preserve">PK</w:t>
            </w:r>
          </w:p>
        </w:tc>
      </w:tr>
      <w:tr>
        <w:tc>
          <w:tcPr>
            <w:tcW w:type="dxa" w:w="20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uld_id</w:t>
            </w:r>
          </w:p>
        </w:tc>
        <w:tc>
          <w:tcPr>
            <w:tcW w:type="dxa" w:w="15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UUID</w:t>
            </w:r>
          </w:p>
        </w:tc>
        <w:tc>
          <w:tcPr>
            <w:tcW w:type="dxa" w:w="38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ULD the cargo is built into.</w:t>
            </w:r>
          </w:p>
        </w:tc>
        <w:tc>
          <w:tcPr>
            <w:tcW w:type="dxa" w:w="23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FK → logi.ulds.uld_id</w:t>
            </w:r>
          </w:p>
        </w:tc>
      </w:tr>
      <w:tr>
        <w:tc>
          <w:tcPr>
            <w:tcW w:type="dxa" w:w="2000"/>
            <w:tcMar>
              <w:top w:type="dxa" w:w="60"/>
              <w:left w:type="dxa" w:w="100"/>
              <w:bottom w:type="dxa" w:w="60"/>
              <w:right w:type="dxa" w:w="100"/>
            </w:tcMar>
            <w:vAlign w:val="center"/>
          </w:tcPr>
          <w:p>
            <w:pPr>
              <w:spacing w:after="0"/>
            </w:pPr>
            <w:r>
              <w:rPr>
                <w:b w:val="false"/>
                <w:bCs w:val="false"/>
                <w:color w:val="000000"/>
                <w:sz w:val="18"/>
                <w:szCs w:val="18"/>
              </w:rPr>
              <w:t xml:space="preserve">awb_id</w:t>
            </w:r>
          </w:p>
        </w:tc>
        <w:tc>
          <w:tcPr>
            <w:tcW w:type="dxa" w:w="1500"/>
            <w:tcMar>
              <w:top w:type="dxa" w:w="60"/>
              <w:left w:type="dxa" w:w="100"/>
              <w:bottom w:type="dxa" w:w="60"/>
              <w:right w:type="dxa" w:w="100"/>
            </w:tcMar>
            <w:vAlign w:val="center"/>
          </w:tcPr>
          <w:p>
            <w:pPr>
              <w:spacing w:after="0"/>
            </w:pPr>
            <w:r>
              <w:rPr>
                <w:b w:val="false"/>
                <w:bCs w:val="false"/>
                <w:color w:val="000000"/>
                <w:sz w:val="18"/>
                <w:szCs w:val="18"/>
              </w:rPr>
              <w:t xml:space="preserve">UUID</w:t>
            </w:r>
          </w:p>
        </w:tc>
        <w:tc>
          <w:tcPr>
            <w:tcW w:type="dxa" w:w="3800"/>
            <w:tcMar>
              <w:top w:type="dxa" w:w="60"/>
              <w:left w:type="dxa" w:w="100"/>
              <w:bottom w:type="dxa" w:w="60"/>
              <w:right w:type="dxa" w:w="100"/>
            </w:tcMar>
            <w:vAlign w:val="center"/>
          </w:tcPr>
          <w:p>
            <w:pPr>
              <w:spacing w:after="0"/>
            </w:pPr>
            <w:r>
              <w:rPr>
                <w:b w:val="false"/>
                <w:bCs w:val="false"/>
                <w:color w:val="000000"/>
                <w:sz w:val="18"/>
                <w:szCs w:val="18"/>
              </w:rPr>
              <w:t xml:space="preserve">AWB (or a piece-level subset of it) loaded into the ULD.</w:t>
            </w:r>
          </w:p>
        </w:tc>
        <w:tc>
          <w:tcPr>
            <w:tcW w:type="dxa" w:w="2340"/>
            <w:tcMar>
              <w:top w:type="dxa" w:w="60"/>
              <w:left w:type="dxa" w:w="100"/>
              <w:bottom w:type="dxa" w:w="60"/>
              <w:right w:type="dxa" w:w="100"/>
            </w:tcMar>
            <w:vAlign w:val="center"/>
          </w:tcPr>
          <w:p>
            <w:pPr>
              <w:spacing w:after="0"/>
            </w:pPr>
            <w:r>
              <w:rPr>
                <w:b w:val="false"/>
                <w:bCs w:val="false"/>
                <w:color w:val="000000"/>
                <w:sz w:val="18"/>
                <w:szCs w:val="18"/>
              </w:rPr>
              <w:t xml:space="preserve">FK → logi.air_waybills.awb_id</w:t>
            </w:r>
          </w:p>
        </w:tc>
      </w:tr>
      <w:tr>
        <w:tc>
          <w:tcPr>
            <w:tcW w:type="dxa" w:w="20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manifest_id</w:t>
            </w:r>
          </w:p>
        </w:tc>
        <w:tc>
          <w:tcPr>
            <w:tcW w:type="dxa" w:w="15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UUID</w:t>
            </w:r>
          </w:p>
        </w:tc>
        <w:tc>
          <w:tcPr>
            <w:tcW w:type="dxa" w:w="38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Flight manifest this build-up applies to.</w:t>
            </w:r>
          </w:p>
        </w:tc>
        <w:tc>
          <w:tcPr>
            <w:tcW w:type="dxa" w:w="23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FK → logi.flight_manifests.manifest_id</w:t>
            </w:r>
          </w:p>
        </w:tc>
      </w:tr>
      <w:tr>
        <w:tc>
          <w:tcPr>
            <w:tcW w:type="dxa" w:w="2000"/>
            <w:tcMar>
              <w:top w:type="dxa" w:w="60"/>
              <w:left w:type="dxa" w:w="100"/>
              <w:bottom w:type="dxa" w:w="60"/>
              <w:right w:type="dxa" w:w="100"/>
            </w:tcMar>
            <w:vAlign w:val="center"/>
          </w:tcPr>
          <w:p>
            <w:pPr>
              <w:spacing w:after="0"/>
            </w:pPr>
            <w:r>
              <w:rPr>
                <w:b w:val="false"/>
                <w:bCs w:val="false"/>
                <w:color w:val="000000"/>
                <w:sz w:val="18"/>
                <w:szCs w:val="18"/>
              </w:rPr>
              <w:t xml:space="preserve">pieces_loaded / weight_loaded_kg</w:t>
            </w:r>
          </w:p>
        </w:tc>
        <w:tc>
          <w:tcPr>
            <w:tcW w:type="dxa" w:w="1500"/>
            <w:tcMar>
              <w:top w:type="dxa" w:w="60"/>
              <w:left w:type="dxa" w:w="100"/>
              <w:bottom w:type="dxa" w:w="60"/>
              <w:right w:type="dxa" w:w="100"/>
            </w:tcMar>
            <w:vAlign w:val="center"/>
          </w:tcPr>
          <w:p>
            <w:pPr>
              <w:spacing w:after="0"/>
            </w:pPr>
            <w:r>
              <w:rPr>
                <w:b w:val="false"/>
                <w:bCs w:val="false"/>
                <w:color w:val="000000"/>
                <w:sz w:val="18"/>
                <w:szCs w:val="18"/>
              </w:rPr>
              <w:t xml:space="preserve">INTEGER / DECIMAL(12,3)</w:t>
            </w:r>
          </w:p>
        </w:tc>
        <w:tc>
          <w:tcPr>
            <w:tcW w:type="dxa" w:w="3800"/>
            <w:tcMar>
              <w:top w:type="dxa" w:w="60"/>
              <w:left w:type="dxa" w:w="100"/>
              <w:bottom w:type="dxa" w:w="60"/>
              <w:right w:type="dxa" w:w="100"/>
            </w:tcMar>
            <w:vAlign w:val="center"/>
          </w:tcPr>
          <w:p>
            <w:pPr>
              <w:spacing w:after="0"/>
            </w:pPr>
            <w:r>
              <w:rPr>
                <w:b w:val="false"/>
                <w:bCs w:val="false"/>
                <w:color w:val="000000"/>
                <w:sz w:val="18"/>
                <w:szCs w:val="18"/>
              </w:rPr>
              <w:t xml:space="preserve">Quantity of this AWB loaded into this ULD.</w:t>
            </w:r>
          </w:p>
        </w:tc>
        <w:tc>
          <w:tcPr>
            <w:tcW w:type="dxa" w:w="2340"/>
            <w:tcMar>
              <w:top w:type="dxa" w:w="60"/>
              <w:left w:type="dxa" w:w="100"/>
              <w:bottom w:type="dxa" w:w="60"/>
              <w:right w:type="dxa" w:w="100"/>
            </w:tcMar>
            <w:vAlign w:val="center"/>
          </w:tcPr>
          <w:p>
            <w:pPr>
              <w:spacing w:after="0"/>
            </w:pPr>
            <w:r>
              <w:rPr>
                <w:b w:val="false"/>
                <w:bCs w:val="false"/>
                <w:color w:val="000000"/>
                <w:sz w:val="18"/>
                <w:szCs w:val="18"/>
              </w:rPr>
              <w:t xml:space="preserve"/>
            </w:r>
          </w:p>
        </w:tc>
      </w:tr>
      <w:tr>
        <w:tc>
          <w:tcPr>
            <w:tcW w:type="dxa" w:w="20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built_up_at / built_up_by</w:t>
            </w:r>
          </w:p>
        </w:tc>
        <w:tc>
          <w:tcPr>
            <w:tcW w:type="dxa" w:w="15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TIMESTAMP / UUID</w:t>
            </w:r>
          </w:p>
        </w:tc>
        <w:tc>
          <w:tcPr>
            <w:tcW w:type="dxa" w:w="38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Build-up completion and responsible warehouse staff.</w:t>
            </w:r>
          </w:p>
        </w:tc>
        <w:tc>
          <w:tcPr>
            <w:tcW w:type="dxa" w:w="23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FK → users.user_id</w:t>
            </w:r>
          </w:p>
        </w:tc>
      </w:tr>
    </w:tbl>
    <w:p>
      <w:pPr>
        <w:spacing w:after="200"/>
      </w:pPr>
    </w:p>
    <w:p>
      <w:pPr>
        <w:pStyle w:val="Heading2"/>
        <w:spacing w:after="150" w:before="300"/>
      </w:pPr>
      <w:r>
        <w:t xml:space="preserve">3.6 Tracking Events / FSU (Freight Status Update)</w:t>
      </w:r>
    </w:p>
    <w:p>
      <w:pPr>
        <w:spacing w:after="160"/>
      </w:pPr>
      <w:r>
        <w:rPr>
          <w:i/>
          <w:iCs/>
          <w:color w:val="595959"/>
        </w:rPr>
        <w:t xml:space="preserve">logi.tracking_events — the immutable milestone log driving shipment visibility, sourced from carrier FSU messages, manual scans, or partner APIs.</w:t>
      </w:r>
    </w:p>
    <w:p>
      <w:pPr>
        <w:spacing w:after="40" w:before="240"/>
      </w:pPr>
      <w:r>
        <w:rPr>
          <w:b/>
          <w:bCs/>
          <w:sz w:val="22"/>
          <w:szCs w:val="22"/>
        </w:rPr>
        <w:t xml:space="preserve">Tracking Event</w:t>
      </w:r>
      <w:r>
        <w:rPr>
          <w:i/>
          <w:iCs/>
          <w:color w:val="595959"/>
          <w:sz w:val="18"/>
          <w:szCs w:val="18"/>
        </w:rPr>
        <w:t xml:space="preserve">  logi.tracking_events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800"/>
        <w:gridCol w:w="2340"/>
      </w:tblGrid>
      <w:tr>
        <w:trPr>
          <w:tblHeader/>
        </w:trPr>
        <w:tc>
          <w:tcPr>
            <w:tcW w:type="dxa" w:w="2000"/>
            <w:shd w:fill="1F3864" w:val="clear"/>
            <w:tcMar>
              <w:top w:type="dxa" w:w="80"/>
              <w:left w:type="dxa" w:w="100"/>
              <w:bottom w:type="dxa" w:w="80"/>
              <w:right w:type="dxa" w:w="100"/>
            </w:tcMar>
            <w:vAlign w:val="center"/>
          </w:tcPr>
          <w:p>
            <w:pPr>
              <w:spacing w:after="0"/>
            </w:pPr>
            <w:r>
              <w:rPr>
                <w:b/>
                <w:bCs/>
                <w:color w:val="FFFFFF"/>
                <w:sz w:val="18"/>
                <w:szCs w:val="18"/>
              </w:rPr>
              <w:t xml:space="preserve">Field</w:t>
            </w:r>
          </w:p>
        </w:tc>
        <w:tc>
          <w:tcPr>
            <w:tcW w:type="dxa" w:w="1500"/>
            <w:shd w:fill="1F3864" w:val="clear"/>
            <w:tcMar>
              <w:top w:type="dxa" w:w="80"/>
              <w:left w:type="dxa" w:w="100"/>
              <w:bottom w:type="dxa" w:w="80"/>
              <w:right w:type="dxa" w:w="100"/>
            </w:tcMar>
            <w:vAlign w:val="center"/>
          </w:tcPr>
          <w:p>
            <w:pPr>
              <w:spacing w:after="0"/>
            </w:pPr>
            <w:r>
              <w:rPr>
                <w:b/>
                <w:bCs/>
                <w:color w:val="FFFFFF"/>
                <w:sz w:val="18"/>
                <w:szCs w:val="18"/>
              </w:rPr>
              <w:t xml:space="preserve">Type</w:t>
            </w:r>
          </w:p>
        </w:tc>
        <w:tc>
          <w:tcPr>
            <w:tcW w:type="dxa" w:w="3800"/>
            <w:shd w:fill="1F3864" w:val="clear"/>
            <w:tcMar>
              <w:top w:type="dxa" w:w="80"/>
              <w:left w:type="dxa" w:w="100"/>
              <w:bottom w:type="dxa" w:w="80"/>
              <w:right w:type="dxa" w:w="100"/>
            </w:tcMar>
            <w:vAlign w:val="center"/>
          </w:tcPr>
          <w:p>
            <w:pPr>
              <w:spacing w:after="0"/>
            </w:pPr>
            <w:r>
              <w:rPr>
                <w:b/>
                <w:bCs/>
                <w:color w:val="FFFFFF"/>
                <w:sz w:val="18"/>
                <w:szCs w:val="18"/>
              </w:rPr>
              <w:t xml:space="preserve">Description</w:t>
            </w:r>
          </w:p>
        </w:tc>
        <w:tc>
          <w:tcPr>
            <w:tcW w:type="dxa" w:w="2340"/>
            <w:shd w:fill="1F3864" w:val="clear"/>
            <w:tcMar>
              <w:top w:type="dxa" w:w="80"/>
              <w:left w:type="dxa" w:w="100"/>
              <w:bottom w:type="dxa" w:w="80"/>
              <w:right w:type="dxa" w:w="100"/>
            </w:tcMar>
            <w:vAlign w:val="center"/>
          </w:tcPr>
          <w:p>
            <w:pPr>
              <w:spacing w:after="0"/>
            </w:pPr>
            <w:r>
              <w:rPr>
                <w:b/>
                <w:bCs/>
                <w:color w:val="FFFFFF"/>
                <w:sz w:val="18"/>
                <w:szCs w:val="18"/>
              </w:rPr>
              <w:t xml:space="preserve">Key / Relationship</w:t>
            </w:r>
          </w:p>
        </w:tc>
      </w:tr>
      <w:tr>
        <w:tc>
          <w:tcPr>
            <w:tcW w:type="dxa" w:w="2000"/>
            <w:tcMar>
              <w:top w:type="dxa" w:w="60"/>
              <w:left w:type="dxa" w:w="100"/>
              <w:bottom w:type="dxa" w:w="60"/>
              <w:right w:type="dxa" w:w="100"/>
            </w:tcMar>
            <w:vAlign w:val="center"/>
          </w:tcPr>
          <w:p>
            <w:pPr>
              <w:spacing w:after="0"/>
            </w:pPr>
            <w:r>
              <w:rPr>
                <w:b w:val="false"/>
                <w:bCs w:val="false"/>
                <w:color w:val="000000"/>
                <w:sz w:val="18"/>
                <w:szCs w:val="18"/>
              </w:rPr>
              <w:t xml:space="preserve">event_id</w:t>
            </w:r>
          </w:p>
        </w:tc>
        <w:tc>
          <w:tcPr>
            <w:tcW w:type="dxa" w:w="1500"/>
            <w:tcMar>
              <w:top w:type="dxa" w:w="60"/>
              <w:left w:type="dxa" w:w="100"/>
              <w:bottom w:type="dxa" w:w="60"/>
              <w:right w:type="dxa" w:w="100"/>
            </w:tcMar>
            <w:vAlign w:val="center"/>
          </w:tcPr>
          <w:p>
            <w:pPr>
              <w:spacing w:after="0"/>
            </w:pPr>
            <w:r>
              <w:rPr>
                <w:b w:val="false"/>
                <w:bCs w:val="false"/>
                <w:color w:val="000000"/>
                <w:sz w:val="18"/>
                <w:szCs w:val="18"/>
              </w:rPr>
              <w:t xml:space="preserve">UUID (PK)</w:t>
            </w:r>
          </w:p>
        </w:tc>
        <w:tc>
          <w:tcPr>
            <w:tcW w:type="dxa" w:w="3800"/>
            <w:tcMar>
              <w:top w:type="dxa" w:w="60"/>
              <w:left w:type="dxa" w:w="100"/>
              <w:bottom w:type="dxa" w:w="60"/>
              <w:right w:type="dxa" w:w="100"/>
            </w:tcMar>
            <w:vAlign w:val="center"/>
          </w:tcPr>
          <w:p>
            <w:pPr>
              <w:spacing w:after="0"/>
            </w:pPr>
            <w:r>
              <w:rPr>
                <w:b w:val="false"/>
                <w:bCs w:val="false"/>
                <w:color w:val="000000"/>
                <w:sz w:val="18"/>
                <w:szCs w:val="18"/>
              </w:rPr>
              <w:t xml:space="preserve">Primary key.</w:t>
            </w:r>
          </w:p>
        </w:tc>
        <w:tc>
          <w:tcPr>
            <w:tcW w:type="dxa" w:w="2340"/>
            <w:tcMar>
              <w:top w:type="dxa" w:w="60"/>
              <w:left w:type="dxa" w:w="100"/>
              <w:bottom w:type="dxa" w:w="60"/>
              <w:right w:type="dxa" w:w="100"/>
            </w:tcMar>
            <w:vAlign w:val="center"/>
          </w:tcPr>
          <w:p>
            <w:pPr>
              <w:spacing w:after="0"/>
            </w:pPr>
            <w:r>
              <w:rPr>
                <w:b w:val="false"/>
                <w:bCs w:val="false"/>
                <w:color w:val="000000"/>
                <w:sz w:val="18"/>
                <w:szCs w:val="18"/>
              </w:rPr>
              <w:t xml:space="preserve">PK</w:t>
            </w:r>
          </w:p>
        </w:tc>
      </w:tr>
      <w:tr>
        <w:tc>
          <w:tcPr>
            <w:tcW w:type="dxa" w:w="20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awb_id</w:t>
            </w:r>
          </w:p>
        </w:tc>
        <w:tc>
          <w:tcPr>
            <w:tcW w:type="dxa" w:w="15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UUID</w:t>
            </w:r>
          </w:p>
        </w:tc>
        <w:tc>
          <w:tcPr>
            <w:tcW w:type="dxa" w:w="38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AWB this milestone applies to.</w:t>
            </w:r>
          </w:p>
        </w:tc>
        <w:tc>
          <w:tcPr>
            <w:tcW w:type="dxa" w:w="23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FK → logi.air_waybills.awb_id</w:t>
            </w:r>
          </w:p>
        </w:tc>
      </w:tr>
      <w:tr>
        <w:tc>
          <w:tcPr>
            <w:tcW w:type="dxa" w:w="2000"/>
            <w:tcMar>
              <w:top w:type="dxa" w:w="60"/>
              <w:left w:type="dxa" w:w="100"/>
              <w:bottom w:type="dxa" w:w="60"/>
              <w:right w:type="dxa" w:w="100"/>
            </w:tcMar>
            <w:vAlign w:val="center"/>
          </w:tcPr>
          <w:p>
            <w:pPr>
              <w:spacing w:after="0"/>
            </w:pPr>
            <w:r>
              <w:rPr>
                <w:b w:val="false"/>
                <w:bCs w:val="false"/>
                <w:color w:val="000000"/>
                <w:sz w:val="18"/>
                <w:szCs w:val="18"/>
              </w:rPr>
              <w:t xml:space="preserve">shipment_id</w:t>
            </w:r>
          </w:p>
        </w:tc>
        <w:tc>
          <w:tcPr>
            <w:tcW w:type="dxa" w:w="1500"/>
            <w:tcMar>
              <w:top w:type="dxa" w:w="60"/>
              <w:left w:type="dxa" w:w="100"/>
              <w:bottom w:type="dxa" w:w="60"/>
              <w:right w:type="dxa" w:w="100"/>
            </w:tcMar>
            <w:vAlign w:val="center"/>
          </w:tcPr>
          <w:p>
            <w:pPr>
              <w:spacing w:after="0"/>
            </w:pPr>
            <w:r>
              <w:rPr>
                <w:b w:val="false"/>
                <w:bCs w:val="false"/>
                <w:color w:val="000000"/>
                <w:sz w:val="18"/>
                <w:szCs w:val="18"/>
              </w:rPr>
              <w:t xml:space="preserve">UUID</w:t>
            </w:r>
          </w:p>
        </w:tc>
        <w:tc>
          <w:tcPr>
            <w:tcW w:type="dxa" w:w="3800"/>
            <w:tcMar>
              <w:top w:type="dxa" w:w="60"/>
              <w:left w:type="dxa" w:w="100"/>
              <w:bottom w:type="dxa" w:w="60"/>
              <w:right w:type="dxa" w:w="100"/>
            </w:tcMar>
            <w:vAlign w:val="center"/>
          </w:tcPr>
          <w:p>
            <w:pPr>
              <w:spacing w:after="0"/>
            </w:pPr>
            <w:r>
              <w:rPr>
                <w:b w:val="false"/>
                <w:bCs w:val="false"/>
                <w:color w:val="000000"/>
                <w:sz w:val="18"/>
                <w:szCs w:val="18"/>
              </w:rPr>
              <w:t xml:space="preserve">Denormalized for fast shipment-level timeline queries.</w:t>
            </w:r>
          </w:p>
        </w:tc>
        <w:tc>
          <w:tcPr>
            <w:tcW w:type="dxa" w:w="2340"/>
            <w:tcMar>
              <w:top w:type="dxa" w:w="60"/>
              <w:left w:type="dxa" w:w="100"/>
              <w:bottom w:type="dxa" w:w="60"/>
              <w:right w:type="dxa" w:w="100"/>
            </w:tcMar>
            <w:vAlign w:val="center"/>
          </w:tcPr>
          <w:p>
            <w:pPr>
              <w:spacing w:after="0"/>
            </w:pPr>
            <w:r>
              <w:rPr>
                <w:b w:val="false"/>
                <w:bCs w:val="false"/>
                <w:color w:val="000000"/>
                <w:sz w:val="18"/>
                <w:szCs w:val="18"/>
              </w:rPr>
              <w:t xml:space="preserve">FK → logi.shipments.shipment_id</w:t>
            </w:r>
          </w:p>
        </w:tc>
      </w:tr>
      <w:tr>
        <w:tc>
          <w:tcPr>
            <w:tcW w:type="dxa" w:w="20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event_code</w:t>
            </w:r>
          </w:p>
        </w:tc>
        <w:tc>
          <w:tcPr>
            <w:tcW w:type="dxa" w:w="15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CHAR(3)</w:t>
            </w:r>
          </w:p>
        </w:tc>
        <w:tc>
          <w:tcPr>
            <w:tcW w:type="dxa" w:w="38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IATA standard milestone code — see status code table below.</w:t>
            </w:r>
          </w:p>
        </w:tc>
        <w:tc>
          <w:tcPr>
            <w:tcW w:type="dxa" w:w="23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
            </w:r>
          </w:p>
        </w:tc>
      </w:tr>
      <w:tr>
        <w:tc>
          <w:tcPr>
            <w:tcW w:type="dxa" w:w="2000"/>
            <w:tcMar>
              <w:top w:type="dxa" w:w="60"/>
              <w:left w:type="dxa" w:w="100"/>
              <w:bottom w:type="dxa" w:w="60"/>
              <w:right w:type="dxa" w:w="100"/>
            </w:tcMar>
            <w:vAlign w:val="center"/>
          </w:tcPr>
          <w:p>
            <w:pPr>
              <w:spacing w:after="0"/>
            </w:pPr>
            <w:r>
              <w:rPr>
                <w:b w:val="false"/>
                <w:bCs w:val="false"/>
                <w:color w:val="000000"/>
                <w:sz w:val="18"/>
                <w:szCs w:val="18"/>
              </w:rPr>
              <w:t xml:space="preserve">event_description</w:t>
            </w:r>
          </w:p>
        </w:tc>
        <w:tc>
          <w:tcPr>
            <w:tcW w:type="dxa" w:w="1500"/>
            <w:tcMar>
              <w:top w:type="dxa" w:w="60"/>
              <w:left w:type="dxa" w:w="100"/>
              <w:bottom w:type="dxa" w:w="60"/>
              <w:right w:type="dxa" w:w="100"/>
            </w:tcMar>
            <w:vAlign w:val="center"/>
          </w:tcPr>
          <w:p>
            <w:pPr>
              <w:spacing w:after="0"/>
            </w:pPr>
            <w:r>
              <w:rPr>
                <w:b w:val="false"/>
                <w:bCs w:val="false"/>
                <w:color w:val="000000"/>
                <w:sz w:val="18"/>
                <w:szCs w:val="18"/>
              </w:rPr>
              <w:t xml:space="preserve">VARCHAR(200)</w:t>
            </w:r>
          </w:p>
        </w:tc>
        <w:tc>
          <w:tcPr>
            <w:tcW w:type="dxa" w:w="3800"/>
            <w:tcMar>
              <w:top w:type="dxa" w:w="60"/>
              <w:left w:type="dxa" w:w="100"/>
              <w:bottom w:type="dxa" w:w="60"/>
              <w:right w:type="dxa" w:w="100"/>
            </w:tcMar>
            <w:vAlign w:val="center"/>
          </w:tcPr>
          <w:p>
            <w:pPr>
              <w:spacing w:after="0"/>
            </w:pPr>
            <w:r>
              <w:rPr>
                <w:b w:val="false"/>
                <w:bCs w:val="false"/>
                <w:color w:val="000000"/>
                <w:sz w:val="18"/>
                <w:szCs w:val="18"/>
              </w:rPr>
              <w:t xml:space="preserve">Free-text elaboration accompanying the code, if provided.</w:t>
            </w:r>
          </w:p>
        </w:tc>
        <w:tc>
          <w:tcPr>
            <w:tcW w:type="dxa" w:w="2340"/>
            <w:tcMar>
              <w:top w:type="dxa" w:w="60"/>
              <w:left w:type="dxa" w:w="100"/>
              <w:bottom w:type="dxa" w:w="60"/>
              <w:right w:type="dxa" w:w="100"/>
            </w:tcMar>
            <w:vAlign w:val="center"/>
          </w:tcPr>
          <w:p>
            <w:pPr>
              <w:spacing w:after="0"/>
            </w:pPr>
            <w:r>
              <w:rPr>
                <w:b w:val="false"/>
                <w:bCs w:val="false"/>
                <w:color w:val="000000"/>
                <w:sz w:val="18"/>
                <w:szCs w:val="18"/>
              </w:rPr>
              <w:t xml:space="preserve"/>
            </w:r>
          </w:p>
        </w:tc>
      </w:tr>
      <w:tr>
        <w:tc>
          <w:tcPr>
            <w:tcW w:type="dxa" w:w="20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location_airport</w:t>
            </w:r>
          </w:p>
        </w:tc>
        <w:tc>
          <w:tcPr>
            <w:tcW w:type="dxa" w:w="15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CHAR(3)</w:t>
            </w:r>
          </w:p>
        </w:tc>
        <w:tc>
          <w:tcPr>
            <w:tcW w:type="dxa" w:w="38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Airport where the event occurred.</w:t>
            </w:r>
          </w:p>
        </w:tc>
        <w:tc>
          <w:tcPr>
            <w:tcW w:type="dxa" w:w="23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FK → ref.airports.iata_code</w:t>
            </w:r>
          </w:p>
        </w:tc>
      </w:tr>
      <w:tr>
        <w:tc>
          <w:tcPr>
            <w:tcW w:type="dxa" w:w="2000"/>
            <w:tcMar>
              <w:top w:type="dxa" w:w="60"/>
              <w:left w:type="dxa" w:w="100"/>
              <w:bottom w:type="dxa" w:w="60"/>
              <w:right w:type="dxa" w:w="100"/>
            </w:tcMar>
            <w:vAlign w:val="center"/>
          </w:tcPr>
          <w:p>
            <w:pPr>
              <w:spacing w:after="0"/>
            </w:pPr>
            <w:r>
              <w:rPr>
                <w:b w:val="false"/>
                <w:bCs w:val="false"/>
                <w:color w:val="000000"/>
                <w:sz w:val="18"/>
                <w:szCs w:val="18"/>
              </w:rPr>
              <w:t xml:space="preserve">event_timestamp</w:t>
            </w:r>
          </w:p>
        </w:tc>
        <w:tc>
          <w:tcPr>
            <w:tcW w:type="dxa" w:w="1500"/>
            <w:tcMar>
              <w:top w:type="dxa" w:w="60"/>
              <w:left w:type="dxa" w:w="100"/>
              <w:bottom w:type="dxa" w:w="60"/>
              <w:right w:type="dxa" w:w="100"/>
            </w:tcMar>
            <w:vAlign w:val="center"/>
          </w:tcPr>
          <w:p>
            <w:pPr>
              <w:spacing w:after="0"/>
            </w:pPr>
            <w:r>
              <w:rPr>
                <w:b w:val="false"/>
                <w:bCs w:val="false"/>
                <w:color w:val="000000"/>
                <w:sz w:val="18"/>
                <w:szCs w:val="18"/>
              </w:rPr>
              <w:t xml:space="preserve">TIMESTAMP</w:t>
            </w:r>
          </w:p>
        </w:tc>
        <w:tc>
          <w:tcPr>
            <w:tcW w:type="dxa" w:w="3800"/>
            <w:tcMar>
              <w:top w:type="dxa" w:w="60"/>
              <w:left w:type="dxa" w:w="100"/>
              <w:bottom w:type="dxa" w:w="60"/>
              <w:right w:type="dxa" w:w="100"/>
            </w:tcMar>
            <w:vAlign w:val="center"/>
          </w:tcPr>
          <w:p>
            <w:pPr>
              <w:spacing w:after="0"/>
            </w:pPr>
            <w:r>
              <w:rPr>
                <w:b w:val="false"/>
                <w:bCs w:val="false"/>
                <w:color w:val="000000"/>
                <w:sz w:val="18"/>
                <w:szCs w:val="18"/>
              </w:rPr>
              <w:t xml:space="preserve">Time the milestone occurred (not when it was recorded).</w:t>
            </w:r>
          </w:p>
        </w:tc>
        <w:tc>
          <w:tcPr>
            <w:tcW w:type="dxa" w:w="2340"/>
            <w:tcMar>
              <w:top w:type="dxa" w:w="60"/>
              <w:left w:type="dxa" w:w="100"/>
              <w:bottom w:type="dxa" w:w="60"/>
              <w:right w:type="dxa" w:w="100"/>
            </w:tcMar>
            <w:vAlign w:val="center"/>
          </w:tcPr>
          <w:p>
            <w:pPr>
              <w:spacing w:after="0"/>
            </w:pPr>
            <w:r>
              <w:rPr>
                <w:b w:val="false"/>
                <w:bCs w:val="false"/>
                <w:color w:val="000000"/>
                <w:sz w:val="18"/>
                <w:szCs w:val="18"/>
              </w:rPr>
              <w:t xml:space="preserve">Indexed</w:t>
            </w:r>
          </w:p>
        </w:tc>
      </w:tr>
      <w:tr>
        <w:tc>
          <w:tcPr>
            <w:tcW w:type="dxa" w:w="20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pieces_at_event / weight_at_event_kg</w:t>
            </w:r>
          </w:p>
        </w:tc>
        <w:tc>
          <w:tcPr>
            <w:tcW w:type="dxa" w:w="15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INTEGER / DECIMAL(12,3)</w:t>
            </w:r>
          </w:p>
        </w:tc>
        <w:tc>
          <w:tcPr>
            <w:tcW w:type="dxa" w:w="38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Supports partial-shipment / split-piece tracking.</w:t>
            </w:r>
          </w:p>
        </w:tc>
        <w:tc>
          <w:tcPr>
            <w:tcW w:type="dxa" w:w="23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
            </w:r>
          </w:p>
        </w:tc>
      </w:tr>
      <w:tr>
        <w:tc>
          <w:tcPr>
            <w:tcW w:type="dxa" w:w="2000"/>
            <w:tcMar>
              <w:top w:type="dxa" w:w="60"/>
              <w:left w:type="dxa" w:w="100"/>
              <w:bottom w:type="dxa" w:w="60"/>
              <w:right w:type="dxa" w:w="100"/>
            </w:tcMar>
            <w:vAlign w:val="center"/>
          </w:tcPr>
          <w:p>
            <w:pPr>
              <w:spacing w:after="0"/>
            </w:pPr>
            <w:r>
              <w:rPr>
                <w:b w:val="false"/>
                <w:bCs w:val="false"/>
                <w:color w:val="000000"/>
                <w:sz w:val="18"/>
                <w:szCs w:val="18"/>
              </w:rPr>
              <w:t xml:space="preserve">source</w:t>
            </w:r>
          </w:p>
        </w:tc>
        <w:tc>
          <w:tcPr>
            <w:tcW w:type="dxa" w:w="1500"/>
            <w:tcMar>
              <w:top w:type="dxa" w:w="60"/>
              <w:left w:type="dxa" w:w="100"/>
              <w:bottom w:type="dxa" w:w="60"/>
              <w:right w:type="dxa" w:w="100"/>
            </w:tcMar>
            <w:vAlign w:val="center"/>
          </w:tcPr>
          <w:p>
            <w:pPr>
              <w:spacing w:after="0"/>
            </w:pPr>
            <w:r>
              <w:rPr>
                <w:b w:val="false"/>
                <w:bCs w:val="false"/>
                <w:color w:val="000000"/>
                <w:sz w:val="18"/>
                <w:szCs w:val="18"/>
              </w:rPr>
              <w:t xml:space="preserve">ENUM</w:t>
            </w:r>
          </w:p>
        </w:tc>
        <w:tc>
          <w:tcPr>
            <w:tcW w:type="dxa" w:w="3800"/>
            <w:tcMar>
              <w:top w:type="dxa" w:w="60"/>
              <w:left w:type="dxa" w:w="100"/>
              <w:bottom w:type="dxa" w:w="60"/>
              <w:right w:type="dxa" w:w="100"/>
            </w:tcMar>
            <w:vAlign w:val="center"/>
          </w:tcPr>
          <w:p>
            <w:pPr>
              <w:spacing w:after="0"/>
            </w:pPr>
            <w:r>
              <w:rPr>
                <w:b w:val="false"/>
                <w:bCs w:val="false"/>
                <w:color w:val="000000"/>
                <w:sz w:val="18"/>
                <w:szCs w:val="18"/>
              </w:rPr>
              <w:t xml:space="preserve">Carrier FSU (EDI/XML), Ground handler scan, Partner API, Manual entry.</w:t>
            </w:r>
          </w:p>
        </w:tc>
        <w:tc>
          <w:tcPr>
            <w:tcW w:type="dxa" w:w="2340"/>
            <w:tcMar>
              <w:top w:type="dxa" w:w="60"/>
              <w:left w:type="dxa" w:w="100"/>
              <w:bottom w:type="dxa" w:w="60"/>
              <w:right w:type="dxa" w:w="100"/>
            </w:tcMar>
            <w:vAlign w:val="center"/>
          </w:tcPr>
          <w:p>
            <w:pPr>
              <w:spacing w:after="0"/>
            </w:pPr>
            <w:r>
              <w:rPr>
                <w:b w:val="false"/>
                <w:bCs w:val="false"/>
                <w:color w:val="000000"/>
                <w:sz w:val="18"/>
                <w:szCs w:val="18"/>
              </w:rPr>
              <w:t xml:space="preserve"/>
            </w:r>
          </w:p>
        </w:tc>
      </w:tr>
      <w:tr>
        <w:tc>
          <w:tcPr>
            <w:tcW w:type="dxa" w:w="20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raw_message_ref</w:t>
            </w:r>
          </w:p>
        </w:tc>
        <w:tc>
          <w:tcPr>
            <w:tcW w:type="dxa" w:w="15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VARCHAR(64), nullable</w:t>
            </w:r>
          </w:p>
        </w:tc>
        <w:tc>
          <w:tcPr>
            <w:tcW w:type="dxa" w:w="38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Pointer to the original ingested Cargo-IMP/XML message for traceability (§6.1).</w:t>
            </w:r>
          </w:p>
        </w:tc>
        <w:tc>
          <w:tcPr>
            <w:tcW w:type="dxa" w:w="23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
            </w:r>
          </w:p>
        </w:tc>
      </w:tr>
      <w:tr>
        <w:tc>
          <w:tcPr>
            <w:tcW w:type="dxa" w:w="2000"/>
            <w:tcMar>
              <w:top w:type="dxa" w:w="60"/>
              <w:left w:type="dxa" w:w="100"/>
              <w:bottom w:type="dxa" w:w="60"/>
              <w:right w:type="dxa" w:w="100"/>
            </w:tcMar>
            <w:vAlign w:val="center"/>
          </w:tcPr>
          <w:p>
            <w:pPr>
              <w:spacing w:after="0"/>
            </w:pPr>
            <w:r>
              <w:rPr>
                <w:b w:val="false"/>
                <w:bCs w:val="false"/>
                <w:color w:val="000000"/>
                <w:sz w:val="18"/>
                <w:szCs w:val="18"/>
              </w:rPr>
              <w:t xml:space="preserve">recorded_at</w:t>
            </w:r>
          </w:p>
        </w:tc>
        <w:tc>
          <w:tcPr>
            <w:tcW w:type="dxa" w:w="1500"/>
            <w:tcMar>
              <w:top w:type="dxa" w:w="60"/>
              <w:left w:type="dxa" w:w="100"/>
              <w:bottom w:type="dxa" w:w="60"/>
              <w:right w:type="dxa" w:w="100"/>
            </w:tcMar>
            <w:vAlign w:val="center"/>
          </w:tcPr>
          <w:p>
            <w:pPr>
              <w:spacing w:after="0"/>
            </w:pPr>
            <w:r>
              <w:rPr>
                <w:b w:val="false"/>
                <w:bCs w:val="false"/>
                <w:color w:val="000000"/>
                <w:sz w:val="18"/>
                <w:szCs w:val="18"/>
              </w:rPr>
              <w:t xml:space="preserve">TIMESTAMP</w:t>
            </w:r>
          </w:p>
        </w:tc>
        <w:tc>
          <w:tcPr>
            <w:tcW w:type="dxa" w:w="3800"/>
            <w:tcMar>
              <w:top w:type="dxa" w:w="60"/>
              <w:left w:type="dxa" w:w="100"/>
              <w:bottom w:type="dxa" w:w="60"/>
              <w:right w:type="dxa" w:w="100"/>
            </w:tcMar>
            <w:vAlign w:val="center"/>
          </w:tcPr>
          <w:p>
            <w:pPr>
              <w:spacing w:after="0"/>
            </w:pPr>
            <w:r>
              <w:rPr>
                <w:b w:val="false"/>
                <w:bCs w:val="false"/>
                <w:color w:val="000000"/>
                <w:sz w:val="18"/>
                <w:szCs w:val="18"/>
              </w:rPr>
              <w:t xml:space="preserve">System ingestion time — kept distinct from event_timestamp for late/out-of-order messages.</w:t>
            </w:r>
          </w:p>
        </w:tc>
        <w:tc>
          <w:tcPr>
            <w:tcW w:type="dxa" w:w="2340"/>
            <w:tcMar>
              <w:top w:type="dxa" w:w="60"/>
              <w:left w:type="dxa" w:w="100"/>
              <w:bottom w:type="dxa" w:w="60"/>
              <w:right w:type="dxa" w:w="100"/>
            </w:tcMar>
            <w:vAlign w:val="center"/>
          </w:tcPr>
          <w:p>
            <w:pPr>
              <w:spacing w:after="0"/>
            </w:pPr>
            <w:r>
              <w:rPr>
                <w:b w:val="false"/>
                <w:bCs w:val="false"/>
                <w:color w:val="000000"/>
                <w:sz w:val="18"/>
                <w:szCs w:val="18"/>
              </w:rPr>
              <w:t xml:space="preserve"/>
            </w:r>
          </w:p>
        </w:tc>
      </w:tr>
    </w:tbl>
    <w:p>
      <w:pPr>
        <w:spacing w:after="200"/>
      </w:pPr>
    </w:p>
    <w:p>
      <w:pPr>
        <w:spacing w:after="40" w:before="160"/>
      </w:pPr>
      <w:r>
        <w:rPr>
          <w:b/>
          <w:bCs/>
          <w:sz w:val="20"/>
          <w:szCs w:val="20"/>
        </w:rPr>
        <w:t xml:space="preserve">Standard FSU milestone codes (subset)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440"/>
      </w:tblGrid>
      <w:tr>
        <w:trPr>
          <w:tblHeader/>
        </w:trPr>
        <w:tc>
          <w:tcPr>
            <w:tcW w:type="dxa" w:w="1400"/>
            <w:shd w:fill="1F3864" w:val="clear"/>
            <w:tcMar>
              <w:top w:type="dxa" w:w="80"/>
              <w:left w:type="dxa" w:w="100"/>
              <w:bottom w:type="dxa" w:w="80"/>
              <w:right w:type="dxa" w:w="100"/>
            </w:tcMar>
            <w:vAlign w:val="center"/>
          </w:tcPr>
          <w:p>
            <w:pPr>
              <w:spacing w:after="0"/>
            </w:pPr>
            <w:r>
              <w:rPr>
                <w:b/>
                <w:bCs/>
                <w:color w:val="FFFFFF"/>
                <w:sz w:val="18"/>
                <w:szCs w:val="18"/>
              </w:rPr>
              <w:t xml:space="preserve">Code</w:t>
            </w:r>
          </w:p>
        </w:tc>
        <w:tc>
          <w:tcPr>
            <w:tcW w:type="dxa" w:w="3800"/>
            <w:shd w:fill="1F3864" w:val="clear"/>
            <w:tcMar>
              <w:top w:type="dxa" w:w="80"/>
              <w:left w:type="dxa" w:w="100"/>
              <w:bottom w:type="dxa" w:w="80"/>
              <w:right w:type="dxa" w:w="100"/>
            </w:tcMar>
            <w:vAlign w:val="center"/>
          </w:tcPr>
          <w:p>
            <w:pPr>
              <w:spacing w:after="0"/>
            </w:pPr>
            <w:r>
              <w:rPr>
                <w:b/>
                <w:bCs/>
                <w:color w:val="FFFFFF"/>
                <w:sz w:val="18"/>
                <w:szCs w:val="18"/>
              </w:rPr>
              <w:t xml:space="preserve">Meaning</w:t>
            </w:r>
          </w:p>
        </w:tc>
        <w:tc>
          <w:tcPr>
            <w:tcW w:type="dxa" w:w="4440"/>
            <w:shd w:fill="1F3864" w:val="clear"/>
            <w:tcMar>
              <w:top w:type="dxa" w:w="80"/>
              <w:left w:type="dxa" w:w="100"/>
              <w:bottom w:type="dxa" w:w="80"/>
              <w:right w:type="dxa" w:w="100"/>
            </w:tcMar>
            <w:vAlign w:val="center"/>
          </w:tcPr>
          <w:p>
            <w:pPr>
              <w:spacing w:after="0"/>
            </w:pPr>
            <w:r>
              <w:rPr>
                <w:b/>
                <w:bCs/>
                <w:color w:val="FFFFFF"/>
                <w:sz w:val="18"/>
                <w:szCs w:val="18"/>
              </w:rPr>
              <w:t xml:space="preserve">Typical Trigger</w:t>
            </w:r>
          </w:p>
        </w:tc>
      </w:tr>
      <w:tr>
        <w:tc>
          <w:tcPr>
            <w:tcW w:type="dxa" w:w="1400"/>
            <w:tcMar>
              <w:top w:type="dxa" w:w="60"/>
              <w:left w:type="dxa" w:w="100"/>
              <w:bottom w:type="dxa" w:w="60"/>
              <w:right w:type="dxa" w:w="100"/>
            </w:tcMar>
            <w:vAlign w:val="center"/>
          </w:tcPr>
          <w:p>
            <w:pPr>
              <w:spacing w:after="0"/>
            </w:pPr>
            <w:r>
              <w:rPr>
                <w:b w:val="false"/>
                <w:bCs w:val="false"/>
                <w:color w:val="000000"/>
                <w:sz w:val="18"/>
                <w:szCs w:val="18"/>
              </w:rPr>
              <w:t xml:space="preserve">RCS</w:t>
            </w:r>
          </w:p>
        </w:tc>
        <w:tc>
          <w:tcPr>
            <w:tcW w:type="dxa" w:w="3800"/>
            <w:tcMar>
              <w:top w:type="dxa" w:w="60"/>
              <w:left w:type="dxa" w:w="100"/>
              <w:bottom w:type="dxa" w:w="60"/>
              <w:right w:type="dxa" w:w="100"/>
            </w:tcMar>
            <w:vAlign w:val="center"/>
          </w:tcPr>
          <w:p>
            <w:pPr>
              <w:spacing w:after="0"/>
            </w:pPr>
            <w:r>
              <w:rPr>
                <w:b w:val="false"/>
                <w:bCs w:val="false"/>
                <w:color w:val="000000"/>
                <w:sz w:val="18"/>
                <w:szCs w:val="18"/>
              </w:rPr>
              <w:t xml:space="preserve">Received from Shipper</w:t>
            </w:r>
          </w:p>
        </w:tc>
        <w:tc>
          <w:tcPr>
            <w:tcW w:type="dxa" w:w="4440"/>
            <w:tcMar>
              <w:top w:type="dxa" w:w="60"/>
              <w:left w:type="dxa" w:w="100"/>
              <w:bottom w:type="dxa" w:w="60"/>
              <w:right w:type="dxa" w:w="100"/>
            </w:tcMar>
            <w:vAlign w:val="center"/>
          </w:tcPr>
          <w:p>
            <w:pPr>
              <w:spacing w:after="0"/>
            </w:pPr>
            <w:r>
              <w:rPr>
                <w:b w:val="false"/>
                <w:bCs w:val="false"/>
                <w:color w:val="000000"/>
                <w:sz w:val="18"/>
                <w:szCs w:val="18"/>
              </w:rPr>
              <w:t xml:space="preserve">Cargo accepted at origin warehouse.</w:t>
            </w:r>
          </w:p>
        </w:tc>
      </w:tr>
      <w:tr>
        <w:tc>
          <w:tcPr>
            <w:tcW w:type="dxa" w:w="14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DEP</w:t>
            </w:r>
          </w:p>
        </w:tc>
        <w:tc>
          <w:tcPr>
            <w:tcW w:type="dxa" w:w="38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Departed</w:t>
            </w:r>
          </w:p>
        </w:tc>
        <w:tc>
          <w:tcPr>
            <w:tcW w:type="dxa" w:w="44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Flight wheels-up on the leg carrying this AWB.</w:t>
            </w:r>
          </w:p>
        </w:tc>
      </w:tr>
      <w:tr>
        <w:tc>
          <w:tcPr>
            <w:tcW w:type="dxa" w:w="1400"/>
            <w:tcMar>
              <w:top w:type="dxa" w:w="60"/>
              <w:left w:type="dxa" w:w="100"/>
              <w:bottom w:type="dxa" w:w="60"/>
              <w:right w:type="dxa" w:w="100"/>
            </w:tcMar>
            <w:vAlign w:val="center"/>
          </w:tcPr>
          <w:p>
            <w:pPr>
              <w:spacing w:after="0"/>
            </w:pPr>
            <w:r>
              <w:rPr>
                <w:b w:val="false"/>
                <w:bCs w:val="false"/>
                <w:color w:val="000000"/>
                <w:sz w:val="18"/>
                <w:szCs w:val="18"/>
              </w:rPr>
              <w:t xml:space="preserve">ARR</w:t>
            </w:r>
          </w:p>
        </w:tc>
        <w:tc>
          <w:tcPr>
            <w:tcW w:type="dxa" w:w="3800"/>
            <w:tcMar>
              <w:top w:type="dxa" w:w="60"/>
              <w:left w:type="dxa" w:w="100"/>
              <w:bottom w:type="dxa" w:w="60"/>
              <w:right w:type="dxa" w:w="100"/>
            </w:tcMar>
            <w:vAlign w:val="center"/>
          </w:tcPr>
          <w:p>
            <w:pPr>
              <w:spacing w:after="0"/>
            </w:pPr>
            <w:r>
              <w:rPr>
                <w:b w:val="false"/>
                <w:bCs w:val="false"/>
                <w:color w:val="000000"/>
                <w:sz w:val="18"/>
                <w:szCs w:val="18"/>
              </w:rPr>
              <w:t xml:space="preserve">Arrived</w:t>
            </w:r>
          </w:p>
        </w:tc>
        <w:tc>
          <w:tcPr>
            <w:tcW w:type="dxa" w:w="4440"/>
            <w:tcMar>
              <w:top w:type="dxa" w:w="60"/>
              <w:left w:type="dxa" w:w="100"/>
              <w:bottom w:type="dxa" w:w="60"/>
              <w:right w:type="dxa" w:w="100"/>
            </w:tcMar>
            <w:vAlign w:val="center"/>
          </w:tcPr>
          <w:p>
            <w:pPr>
              <w:spacing w:after="0"/>
            </w:pPr>
            <w:r>
              <w:rPr>
                <w:b w:val="false"/>
                <w:bCs w:val="false"/>
                <w:color w:val="000000"/>
                <w:sz w:val="18"/>
                <w:szCs w:val="18"/>
              </w:rPr>
              <w:t xml:space="preserve">Flight wheels-down at a leg’s destination.</w:t>
            </w:r>
          </w:p>
        </w:tc>
      </w:tr>
      <w:tr>
        <w:tc>
          <w:tcPr>
            <w:tcW w:type="dxa" w:w="14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RCF</w:t>
            </w:r>
          </w:p>
        </w:tc>
        <w:tc>
          <w:tcPr>
            <w:tcW w:type="dxa" w:w="38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Received from Flight</w:t>
            </w:r>
          </w:p>
        </w:tc>
        <w:tc>
          <w:tcPr>
            <w:tcW w:type="dxa" w:w="44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Cargo offloaded and received at destination/transit warehouse.</w:t>
            </w:r>
          </w:p>
        </w:tc>
      </w:tr>
      <w:tr>
        <w:tc>
          <w:tcPr>
            <w:tcW w:type="dxa" w:w="1400"/>
            <w:tcMar>
              <w:top w:type="dxa" w:w="60"/>
              <w:left w:type="dxa" w:w="100"/>
              <w:bottom w:type="dxa" w:w="60"/>
              <w:right w:type="dxa" w:w="100"/>
            </w:tcMar>
            <w:vAlign w:val="center"/>
          </w:tcPr>
          <w:p>
            <w:pPr>
              <w:spacing w:after="0"/>
            </w:pPr>
            <w:r>
              <w:rPr>
                <w:b w:val="false"/>
                <w:bCs w:val="false"/>
                <w:color w:val="000000"/>
                <w:sz w:val="18"/>
                <w:szCs w:val="18"/>
              </w:rPr>
              <w:t xml:space="preserve">NFD</w:t>
            </w:r>
          </w:p>
        </w:tc>
        <w:tc>
          <w:tcPr>
            <w:tcW w:type="dxa" w:w="3800"/>
            <w:tcMar>
              <w:top w:type="dxa" w:w="60"/>
              <w:left w:type="dxa" w:w="100"/>
              <w:bottom w:type="dxa" w:w="60"/>
              <w:right w:type="dxa" w:w="100"/>
            </w:tcMar>
            <w:vAlign w:val="center"/>
          </w:tcPr>
          <w:p>
            <w:pPr>
              <w:spacing w:after="0"/>
            </w:pPr>
            <w:r>
              <w:rPr>
                <w:b w:val="false"/>
                <w:bCs w:val="false"/>
                <w:color w:val="000000"/>
                <w:sz w:val="18"/>
                <w:szCs w:val="18"/>
              </w:rPr>
              <w:t xml:space="preserve">Notification of Arrival to Consignee</w:t>
            </w:r>
          </w:p>
        </w:tc>
        <w:tc>
          <w:tcPr>
            <w:tcW w:type="dxa" w:w="4440"/>
            <w:tcMar>
              <w:top w:type="dxa" w:w="60"/>
              <w:left w:type="dxa" w:w="100"/>
              <w:bottom w:type="dxa" w:w="60"/>
              <w:right w:type="dxa" w:w="100"/>
            </w:tcMar>
            <w:vAlign w:val="center"/>
          </w:tcPr>
          <w:p>
            <w:pPr>
              <w:spacing w:after="0"/>
            </w:pPr>
            <w:r>
              <w:rPr>
                <w:b w:val="false"/>
                <w:bCs w:val="false"/>
                <w:color w:val="000000"/>
                <w:sz w:val="18"/>
                <w:szCs w:val="18"/>
              </w:rPr>
              <w:t xml:space="preserve">Consignee/broker notified cargo has arrived.</w:t>
            </w:r>
          </w:p>
        </w:tc>
      </w:tr>
      <w:tr>
        <w:tc>
          <w:tcPr>
            <w:tcW w:type="dxa" w:w="14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AWD</w:t>
            </w:r>
          </w:p>
        </w:tc>
        <w:tc>
          <w:tcPr>
            <w:tcW w:type="dxa" w:w="38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Awaiting Customs Documents</w:t>
            </w:r>
          </w:p>
        </w:tc>
        <w:tc>
          <w:tcPr>
            <w:tcW w:type="dxa" w:w="44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Customs clearance pending on shipper/consignee documentation.</w:t>
            </w:r>
          </w:p>
        </w:tc>
      </w:tr>
      <w:tr>
        <w:tc>
          <w:tcPr>
            <w:tcW w:type="dxa" w:w="1400"/>
            <w:tcMar>
              <w:top w:type="dxa" w:w="60"/>
              <w:left w:type="dxa" w:w="100"/>
              <w:bottom w:type="dxa" w:w="60"/>
              <w:right w:type="dxa" w:w="100"/>
            </w:tcMar>
            <w:vAlign w:val="center"/>
          </w:tcPr>
          <w:p>
            <w:pPr>
              <w:spacing w:after="0"/>
            </w:pPr>
            <w:r>
              <w:rPr>
                <w:b w:val="false"/>
                <w:bCs w:val="false"/>
                <w:color w:val="000000"/>
                <w:sz w:val="18"/>
                <w:szCs w:val="18"/>
              </w:rPr>
              <w:t xml:space="preserve">CCD</w:t>
            </w:r>
          </w:p>
        </w:tc>
        <w:tc>
          <w:tcPr>
            <w:tcW w:type="dxa" w:w="3800"/>
            <w:tcMar>
              <w:top w:type="dxa" w:w="60"/>
              <w:left w:type="dxa" w:w="100"/>
              <w:bottom w:type="dxa" w:w="60"/>
              <w:right w:type="dxa" w:w="100"/>
            </w:tcMar>
            <w:vAlign w:val="center"/>
          </w:tcPr>
          <w:p>
            <w:pPr>
              <w:spacing w:after="0"/>
            </w:pPr>
            <w:r>
              <w:rPr>
                <w:b w:val="false"/>
                <w:bCs w:val="false"/>
                <w:color w:val="000000"/>
                <w:sz w:val="18"/>
                <w:szCs w:val="18"/>
              </w:rPr>
              <w:t xml:space="preserve">Customs Cleared</w:t>
            </w:r>
          </w:p>
        </w:tc>
        <w:tc>
          <w:tcPr>
            <w:tcW w:type="dxa" w:w="4440"/>
            <w:tcMar>
              <w:top w:type="dxa" w:w="60"/>
              <w:left w:type="dxa" w:w="100"/>
              <w:bottom w:type="dxa" w:w="60"/>
              <w:right w:type="dxa" w:w="100"/>
            </w:tcMar>
            <w:vAlign w:val="center"/>
          </w:tcPr>
          <w:p>
            <w:pPr>
              <w:spacing w:after="0"/>
            </w:pPr>
            <w:r>
              <w:rPr>
                <w:b w:val="false"/>
                <w:bCs w:val="false"/>
                <w:color w:val="000000"/>
                <w:sz w:val="18"/>
                <w:szCs w:val="18"/>
              </w:rPr>
              <w:t xml:space="preserve">Import customs clearance completed (maps to §3.7).</w:t>
            </w:r>
          </w:p>
        </w:tc>
      </w:tr>
      <w:tr>
        <w:tc>
          <w:tcPr>
            <w:tcW w:type="dxa" w:w="14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DLV</w:t>
            </w:r>
          </w:p>
        </w:tc>
        <w:tc>
          <w:tcPr>
            <w:tcW w:type="dxa" w:w="38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Delivered</w:t>
            </w:r>
          </w:p>
        </w:tc>
        <w:tc>
          <w:tcPr>
            <w:tcW w:type="dxa" w:w="44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Proof of delivery captured; closes the shipment lifecycle.</w:t>
            </w:r>
          </w:p>
        </w:tc>
      </w:tr>
      <w:tr>
        <w:tc>
          <w:tcPr>
            <w:tcW w:type="dxa" w:w="1400"/>
            <w:tcMar>
              <w:top w:type="dxa" w:w="60"/>
              <w:left w:type="dxa" w:w="100"/>
              <w:bottom w:type="dxa" w:w="60"/>
              <w:right w:type="dxa" w:w="100"/>
            </w:tcMar>
            <w:vAlign w:val="center"/>
          </w:tcPr>
          <w:p>
            <w:pPr>
              <w:spacing w:after="0"/>
            </w:pPr>
            <w:r>
              <w:rPr>
                <w:b w:val="false"/>
                <w:bCs w:val="false"/>
                <w:color w:val="000000"/>
                <w:sz w:val="18"/>
                <w:szCs w:val="18"/>
              </w:rPr>
              <w:t xml:space="preserve">AWR / MAN</w:t>
            </w:r>
          </w:p>
        </w:tc>
        <w:tc>
          <w:tcPr>
            <w:tcW w:type="dxa" w:w="3800"/>
            <w:tcMar>
              <w:top w:type="dxa" w:w="60"/>
              <w:left w:type="dxa" w:w="100"/>
              <w:bottom w:type="dxa" w:w="60"/>
              <w:right w:type="dxa" w:w="100"/>
            </w:tcMar>
            <w:vAlign w:val="center"/>
          </w:tcPr>
          <w:p>
            <w:pPr>
              <w:spacing w:after="0"/>
            </w:pPr>
            <w:r>
              <w:rPr>
                <w:b w:val="false"/>
                <w:bCs w:val="false"/>
                <w:color w:val="000000"/>
                <w:sz w:val="18"/>
                <w:szCs w:val="18"/>
              </w:rPr>
              <w:t xml:space="preserve">Irregularity Reported / Manifest Discrepancy</w:t>
            </w:r>
          </w:p>
        </w:tc>
        <w:tc>
          <w:tcPr>
            <w:tcW w:type="dxa" w:w="4440"/>
            <w:tcMar>
              <w:top w:type="dxa" w:w="60"/>
              <w:left w:type="dxa" w:w="100"/>
              <w:bottom w:type="dxa" w:w="60"/>
              <w:right w:type="dxa" w:w="100"/>
            </w:tcMar>
            <w:vAlign w:val="center"/>
          </w:tcPr>
          <w:p>
            <w:pPr>
              <w:spacing w:after="0"/>
            </w:pPr>
            <w:r>
              <w:rPr>
                <w:b w:val="false"/>
                <w:bCs w:val="false"/>
                <w:color w:val="000000"/>
                <w:sz w:val="18"/>
                <w:szCs w:val="18"/>
              </w:rPr>
              <w:t xml:space="preserve">Weight/piece mismatch or damage; opens an exception (§4.4).</w:t>
            </w:r>
          </w:p>
        </w:tc>
      </w:tr>
    </w:tbl>
    <w:p>
      <w:pPr>
        <w:spacing w:after="200"/>
      </w:pPr>
    </w:p>
    <w:p>
      <w:pPr>
        <w:pStyle w:val="Heading2"/>
        <w:spacing w:after="150" w:before="300"/>
      </w:pPr>
      <w:r>
        <w:t xml:space="preserve">3.7 Customs Clearance</w:t>
      </w:r>
    </w:p>
    <w:p>
      <w:pPr>
        <w:spacing w:after="160"/>
      </w:pPr>
      <w:r>
        <w:rPr>
          <w:i/>
          <w:iCs/>
          <w:color w:val="595959"/>
        </w:rPr>
        <w:t xml:space="preserve">logi.customs_clearances — the import/export/transit clearance record per jurisdiction leg of the shipment.</w:t>
      </w:r>
    </w:p>
    <w:p>
      <w:pPr>
        <w:spacing w:after="40" w:before="240"/>
      </w:pPr>
      <w:r>
        <w:rPr>
          <w:b/>
          <w:bCs/>
          <w:sz w:val="22"/>
          <w:szCs w:val="22"/>
        </w:rPr>
        <w:t xml:space="preserve">Customs Clearance</w:t>
      </w:r>
      <w:r>
        <w:rPr>
          <w:i/>
          <w:iCs/>
          <w:color w:val="595959"/>
          <w:sz w:val="18"/>
          <w:szCs w:val="18"/>
        </w:rPr>
        <w:t xml:space="preserve">  logi.customs_clearances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800"/>
        <w:gridCol w:w="2340"/>
      </w:tblGrid>
      <w:tr>
        <w:trPr>
          <w:tblHeader/>
        </w:trPr>
        <w:tc>
          <w:tcPr>
            <w:tcW w:type="dxa" w:w="2000"/>
            <w:shd w:fill="1F3864" w:val="clear"/>
            <w:tcMar>
              <w:top w:type="dxa" w:w="80"/>
              <w:left w:type="dxa" w:w="100"/>
              <w:bottom w:type="dxa" w:w="80"/>
              <w:right w:type="dxa" w:w="100"/>
            </w:tcMar>
            <w:vAlign w:val="center"/>
          </w:tcPr>
          <w:p>
            <w:pPr>
              <w:spacing w:after="0"/>
            </w:pPr>
            <w:r>
              <w:rPr>
                <w:b/>
                <w:bCs/>
                <w:color w:val="FFFFFF"/>
                <w:sz w:val="18"/>
                <w:szCs w:val="18"/>
              </w:rPr>
              <w:t xml:space="preserve">Field</w:t>
            </w:r>
          </w:p>
        </w:tc>
        <w:tc>
          <w:tcPr>
            <w:tcW w:type="dxa" w:w="1500"/>
            <w:shd w:fill="1F3864" w:val="clear"/>
            <w:tcMar>
              <w:top w:type="dxa" w:w="80"/>
              <w:left w:type="dxa" w:w="100"/>
              <w:bottom w:type="dxa" w:w="80"/>
              <w:right w:type="dxa" w:w="100"/>
            </w:tcMar>
            <w:vAlign w:val="center"/>
          </w:tcPr>
          <w:p>
            <w:pPr>
              <w:spacing w:after="0"/>
            </w:pPr>
            <w:r>
              <w:rPr>
                <w:b/>
                <w:bCs/>
                <w:color w:val="FFFFFF"/>
                <w:sz w:val="18"/>
                <w:szCs w:val="18"/>
              </w:rPr>
              <w:t xml:space="preserve">Type</w:t>
            </w:r>
          </w:p>
        </w:tc>
        <w:tc>
          <w:tcPr>
            <w:tcW w:type="dxa" w:w="3800"/>
            <w:shd w:fill="1F3864" w:val="clear"/>
            <w:tcMar>
              <w:top w:type="dxa" w:w="80"/>
              <w:left w:type="dxa" w:w="100"/>
              <w:bottom w:type="dxa" w:w="80"/>
              <w:right w:type="dxa" w:w="100"/>
            </w:tcMar>
            <w:vAlign w:val="center"/>
          </w:tcPr>
          <w:p>
            <w:pPr>
              <w:spacing w:after="0"/>
            </w:pPr>
            <w:r>
              <w:rPr>
                <w:b/>
                <w:bCs/>
                <w:color w:val="FFFFFF"/>
                <w:sz w:val="18"/>
                <w:szCs w:val="18"/>
              </w:rPr>
              <w:t xml:space="preserve">Description</w:t>
            </w:r>
          </w:p>
        </w:tc>
        <w:tc>
          <w:tcPr>
            <w:tcW w:type="dxa" w:w="2340"/>
            <w:shd w:fill="1F3864" w:val="clear"/>
            <w:tcMar>
              <w:top w:type="dxa" w:w="80"/>
              <w:left w:type="dxa" w:w="100"/>
              <w:bottom w:type="dxa" w:w="80"/>
              <w:right w:type="dxa" w:w="100"/>
            </w:tcMar>
            <w:vAlign w:val="center"/>
          </w:tcPr>
          <w:p>
            <w:pPr>
              <w:spacing w:after="0"/>
            </w:pPr>
            <w:r>
              <w:rPr>
                <w:b/>
                <w:bCs/>
                <w:color w:val="FFFFFF"/>
                <w:sz w:val="18"/>
                <w:szCs w:val="18"/>
              </w:rPr>
              <w:t xml:space="preserve">Key / Relationship</w:t>
            </w:r>
          </w:p>
        </w:tc>
      </w:tr>
      <w:tr>
        <w:tc>
          <w:tcPr>
            <w:tcW w:type="dxa" w:w="2000"/>
            <w:tcMar>
              <w:top w:type="dxa" w:w="60"/>
              <w:left w:type="dxa" w:w="100"/>
              <w:bottom w:type="dxa" w:w="60"/>
              <w:right w:type="dxa" w:w="100"/>
            </w:tcMar>
            <w:vAlign w:val="center"/>
          </w:tcPr>
          <w:p>
            <w:pPr>
              <w:spacing w:after="0"/>
            </w:pPr>
            <w:r>
              <w:rPr>
                <w:b w:val="false"/>
                <w:bCs w:val="false"/>
                <w:color w:val="000000"/>
                <w:sz w:val="18"/>
                <w:szCs w:val="18"/>
              </w:rPr>
              <w:t xml:space="preserve">clearance_id</w:t>
            </w:r>
          </w:p>
        </w:tc>
        <w:tc>
          <w:tcPr>
            <w:tcW w:type="dxa" w:w="1500"/>
            <w:tcMar>
              <w:top w:type="dxa" w:w="60"/>
              <w:left w:type="dxa" w:w="100"/>
              <w:bottom w:type="dxa" w:w="60"/>
              <w:right w:type="dxa" w:w="100"/>
            </w:tcMar>
            <w:vAlign w:val="center"/>
          </w:tcPr>
          <w:p>
            <w:pPr>
              <w:spacing w:after="0"/>
            </w:pPr>
            <w:r>
              <w:rPr>
                <w:b w:val="false"/>
                <w:bCs w:val="false"/>
                <w:color w:val="000000"/>
                <w:sz w:val="18"/>
                <w:szCs w:val="18"/>
              </w:rPr>
              <w:t xml:space="preserve">UUID (PK)</w:t>
            </w:r>
          </w:p>
        </w:tc>
        <w:tc>
          <w:tcPr>
            <w:tcW w:type="dxa" w:w="3800"/>
            <w:tcMar>
              <w:top w:type="dxa" w:w="60"/>
              <w:left w:type="dxa" w:w="100"/>
              <w:bottom w:type="dxa" w:w="60"/>
              <w:right w:type="dxa" w:w="100"/>
            </w:tcMar>
            <w:vAlign w:val="center"/>
          </w:tcPr>
          <w:p>
            <w:pPr>
              <w:spacing w:after="0"/>
            </w:pPr>
            <w:r>
              <w:rPr>
                <w:b w:val="false"/>
                <w:bCs w:val="false"/>
                <w:color w:val="000000"/>
                <w:sz w:val="18"/>
                <w:szCs w:val="18"/>
              </w:rPr>
              <w:t xml:space="preserve">Primary key.</w:t>
            </w:r>
          </w:p>
        </w:tc>
        <w:tc>
          <w:tcPr>
            <w:tcW w:type="dxa" w:w="2340"/>
            <w:tcMar>
              <w:top w:type="dxa" w:w="60"/>
              <w:left w:type="dxa" w:w="100"/>
              <w:bottom w:type="dxa" w:w="60"/>
              <w:right w:type="dxa" w:w="100"/>
            </w:tcMar>
            <w:vAlign w:val="center"/>
          </w:tcPr>
          <w:p>
            <w:pPr>
              <w:spacing w:after="0"/>
            </w:pPr>
            <w:r>
              <w:rPr>
                <w:b w:val="false"/>
                <w:bCs w:val="false"/>
                <w:color w:val="000000"/>
                <w:sz w:val="18"/>
                <w:szCs w:val="18"/>
              </w:rPr>
              <w:t xml:space="preserve">PK</w:t>
            </w:r>
          </w:p>
        </w:tc>
      </w:tr>
      <w:tr>
        <w:tc>
          <w:tcPr>
            <w:tcW w:type="dxa" w:w="20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shipment_id</w:t>
            </w:r>
          </w:p>
        </w:tc>
        <w:tc>
          <w:tcPr>
            <w:tcW w:type="dxa" w:w="15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UUID</w:t>
            </w:r>
          </w:p>
        </w:tc>
        <w:tc>
          <w:tcPr>
            <w:tcW w:type="dxa" w:w="38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Shipment being cleared.</w:t>
            </w:r>
          </w:p>
        </w:tc>
        <w:tc>
          <w:tcPr>
            <w:tcW w:type="dxa" w:w="23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FK → logi.shipments.shipment_id</w:t>
            </w:r>
          </w:p>
        </w:tc>
      </w:tr>
      <w:tr>
        <w:tc>
          <w:tcPr>
            <w:tcW w:type="dxa" w:w="2000"/>
            <w:tcMar>
              <w:top w:type="dxa" w:w="60"/>
              <w:left w:type="dxa" w:w="100"/>
              <w:bottom w:type="dxa" w:w="60"/>
              <w:right w:type="dxa" w:w="100"/>
            </w:tcMar>
            <w:vAlign w:val="center"/>
          </w:tcPr>
          <w:p>
            <w:pPr>
              <w:spacing w:after="0"/>
            </w:pPr>
            <w:r>
              <w:rPr>
                <w:b w:val="false"/>
                <w:bCs w:val="false"/>
                <w:color w:val="000000"/>
                <w:sz w:val="18"/>
                <w:szCs w:val="18"/>
              </w:rPr>
              <w:t xml:space="preserve">awb_id</w:t>
            </w:r>
          </w:p>
        </w:tc>
        <w:tc>
          <w:tcPr>
            <w:tcW w:type="dxa" w:w="1500"/>
            <w:tcMar>
              <w:top w:type="dxa" w:w="60"/>
              <w:left w:type="dxa" w:w="100"/>
              <w:bottom w:type="dxa" w:w="60"/>
              <w:right w:type="dxa" w:w="100"/>
            </w:tcMar>
            <w:vAlign w:val="center"/>
          </w:tcPr>
          <w:p>
            <w:pPr>
              <w:spacing w:after="0"/>
            </w:pPr>
            <w:r>
              <w:rPr>
                <w:b w:val="false"/>
                <w:bCs w:val="false"/>
                <w:color w:val="000000"/>
                <w:sz w:val="18"/>
                <w:szCs w:val="18"/>
              </w:rPr>
              <w:t xml:space="preserve">UUID</w:t>
            </w:r>
          </w:p>
        </w:tc>
        <w:tc>
          <w:tcPr>
            <w:tcW w:type="dxa" w:w="3800"/>
            <w:tcMar>
              <w:top w:type="dxa" w:w="60"/>
              <w:left w:type="dxa" w:w="100"/>
              <w:bottom w:type="dxa" w:w="60"/>
              <w:right w:type="dxa" w:w="100"/>
            </w:tcMar>
            <w:vAlign w:val="center"/>
          </w:tcPr>
          <w:p>
            <w:pPr>
              <w:spacing w:after="0"/>
            </w:pPr>
            <w:r>
              <w:rPr>
                <w:b w:val="false"/>
                <w:bCs w:val="false"/>
                <w:color w:val="000000"/>
                <w:sz w:val="18"/>
                <w:szCs w:val="18"/>
              </w:rPr>
              <w:t xml:space="preserve">AWB the clearance is filed against.</w:t>
            </w:r>
          </w:p>
        </w:tc>
        <w:tc>
          <w:tcPr>
            <w:tcW w:type="dxa" w:w="2340"/>
            <w:tcMar>
              <w:top w:type="dxa" w:w="60"/>
              <w:left w:type="dxa" w:w="100"/>
              <w:bottom w:type="dxa" w:w="60"/>
              <w:right w:type="dxa" w:w="100"/>
            </w:tcMar>
            <w:vAlign w:val="center"/>
          </w:tcPr>
          <w:p>
            <w:pPr>
              <w:spacing w:after="0"/>
            </w:pPr>
            <w:r>
              <w:rPr>
                <w:b w:val="false"/>
                <w:bCs w:val="false"/>
                <w:color w:val="000000"/>
                <w:sz w:val="18"/>
                <w:szCs w:val="18"/>
              </w:rPr>
              <w:t xml:space="preserve">FK → logi.air_waybills.awb_id</w:t>
            </w:r>
          </w:p>
        </w:tc>
      </w:tr>
      <w:tr>
        <w:tc>
          <w:tcPr>
            <w:tcW w:type="dxa" w:w="20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clearance_type</w:t>
            </w:r>
          </w:p>
        </w:tc>
        <w:tc>
          <w:tcPr>
            <w:tcW w:type="dxa" w:w="15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ENUM</w:t>
            </w:r>
          </w:p>
        </w:tc>
        <w:tc>
          <w:tcPr>
            <w:tcW w:type="dxa" w:w="38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Import, Export, Transit / In-Bond.</w:t>
            </w:r>
          </w:p>
        </w:tc>
        <w:tc>
          <w:tcPr>
            <w:tcW w:type="dxa" w:w="23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
            </w:r>
          </w:p>
        </w:tc>
      </w:tr>
      <w:tr>
        <w:tc>
          <w:tcPr>
            <w:tcW w:type="dxa" w:w="2000"/>
            <w:tcMar>
              <w:top w:type="dxa" w:w="60"/>
              <w:left w:type="dxa" w:w="100"/>
              <w:bottom w:type="dxa" w:w="60"/>
              <w:right w:type="dxa" w:w="100"/>
            </w:tcMar>
            <w:vAlign w:val="center"/>
          </w:tcPr>
          <w:p>
            <w:pPr>
              <w:spacing w:after="0"/>
            </w:pPr>
            <w:r>
              <w:rPr>
                <w:b w:val="false"/>
                <w:bCs w:val="false"/>
                <w:color w:val="000000"/>
                <w:sz w:val="18"/>
                <w:szCs w:val="18"/>
              </w:rPr>
              <w:t xml:space="preserve">jurisdiction</w:t>
            </w:r>
          </w:p>
        </w:tc>
        <w:tc>
          <w:tcPr>
            <w:tcW w:type="dxa" w:w="1500"/>
            <w:tcMar>
              <w:top w:type="dxa" w:w="60"/>
              <w:left w:type="dxa" w:w="100"/>
              <w:bottom w:type="dxa" w:w="60"/>
              <w:right w:type="dxa" w:w="100"/>
            </w:tcMar>
            <w:vAlign w:val="center"/>
          </w:tcPr>
          <w:p>
            <w:pPr>
              <w:spacing w:after="0"/>
            </w:pPr>
            <w:r>
              <w:rPr>
                <w:b w:val="false"/>
                <w:bCs w:val="false"/>
                <w:color w:val="000000"/>
                <w:sz w:val="18"/>
                <w:szCs w:val="18"/>
              </w:rPr>
              <w:t xml:space="preserve">VARCHAR(40)</w:t>
            </w:r>
          </w:p>
        </w:tc>
        <w:tc>
          <w:tcPr>
            <w:tcW w:type="dxa" w:w="3800"/>
            <w:tcMar>
              <w:top w:type="dxa" w:w="60"/>
              <w:left w:type="dxa" w:w="100"/>
              <w:bottom w:type="dxa" w:w="60"/>
              <w:right w:type="dxa" w:w="100"/>
            </w:tcMar>
            <w:vAlign w:val="center"/>
          </w:tcPr>
          <w:p>
            <w:pPr>
              <w:spacing w:after="0"/>
            </w:pPr>
            <w:r>
              <w:rPr>
                <w:b w:val="false"/>
                <w:bCs w:val="false"/>
                <w:color w:val="000000"/>
                <w:sz w:val="18"/>
                <w:szCs w:val="18"/>
              </w:rPr>
              <w:t xml:space="preserve">Customs regime, e.g. US-ACE, EU-ICS2, UAE-Customs, UK-CDS.</w:t>
            </w:r>
          </w:p>
        </w:tc>
        <w:tc>
          <w:tcPr>
            <w:tcW w:type="dxa" w:w="2340"/>
            <w:tcMar>
              <w:top w:type="dxa" w:w="60"/>
              <w:left w:type="dxa" w:w="100"/>
              <w:bottom w:type="dxa" w:w="60"/>
              <w:right w:type="dxa" w:w="100"/>
            </w:tcMar>
            <w:vAlign w:val="center"/>
          </w:tcPr>
          <w:p>
            <w:pPr>
              <w:spacing w:after="0"/>
            </w:pPr>
            <w:r>
              <w:rPr>
                <w:b w:val="false"/>
                <w:bCs w:val="false"/>
                <w:color w:val="000000"/>
                <w:sz w:val="18"/>
                <w:szCs w:val="18"/>
              </w:rPr>
              <w:t xml:space="preserve"/>
            </w:r>
          </w:p>
        </w:tc>
      </w:tr>
      <w:tr>
        <w:tc>
          <w:tcPr>
            <w:tcW w:type="dxa" w:w="20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declaration_number</w:t>
            </w:r>
          </w:p>
        </w:tc>
        <w:tc>
          <w:tcPr>
            <w:tcW w:type="dxa" w:w="15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VARCHAR(40)</w:t>
            </w:r>
          </w:p>
        </w:tc>
        <w:tc>
          <w:tcPr>
            <w:tcW w:type="dxa" w:w="38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Customs authority’s declaration/entry number.</w:t>
            </w:r>
          </w:p>
        </w:tc>
        <w:tc>
          <w:tcPr>
            <w:tcW w:type="dxa" w:w="23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Unique per jurisdiction</w:t>
            </w:r>
          </w:p>
        </w:tc>
      </w:tr>
      <w:tr>
        <w:tc>
          <w:tcPr>
            <w:tcW w:type="dxa" w:w="2000"/>
            <w:tcMar>
              <w:top w:type="dxa" w:w="60"/>
              <w:left w:type="dxa" w:w="100"/>
              <w:bottom w:type="dxa" w:w="60"/>
              <w:right w:type="dxa" w:w="100"/>
            </w:tcMar>
            <w:vAlign w:val="center"/>
          </w:tcPr>
          <w:p>
            <w:pPr>
              <w:spacing w:after="0"/>
            </w:pPr>
            <w:r>
              <w:rPr>
                <w:b w:val="false"/>
                <w:bCs w:val="false"/>
                <w:color w:val="000000"/>
                <w:sz w:val="18"/>
                <w:szCs w:val="18"/>
              </w:rPr>
              <w:t xml:space="preserve">hs_codes</w:t>
            </w:r>
          </w:p>
        </w:tc>
        <w:tc>
          <w:tcPr>
            <w:tcW w:type="dxa" w:w="1500"/>
            <w:tcMar>
              <w:top w:type="dxa" w:w="60"/>
              <w:left w:type="dxa" w:w="100"/>
              <w:bottom w:type="dxa" w:w="60"/>
              <w:right w:type="dxa" w:w="100"/>
            </w:tcMar>
            <w:vAlign w:val="center"/>
          </w:tcPr>
          <w:p>
            <w:pPr>
              <w:spacing w:after="0"/>
            </w:pPr>
            <w:r>
              <w:rPr>
                <w:b w:val="false"/>
                <w:bCs w:val="false"/>
                <w:color w:val="000000"/>
                <w:sz w:val="18"/>
                <w:szCs w:val="18"/>
              </w:rPr>
              <w:t xml:space="preserve">ARRAY(VARCHAR)</w:t>
            </w:r>
          </w:p>
        </w:tc>
        <w:tc>
          <w:tcPr>
            <w:tcW w:type="dxa" w:w="3800"/>
            <w:tcMar>
              <w:top w:type="dxa" w:w="60"/>
              <w:left w:type="dxa" w:w="100"/>
              <w:bottom w:type="dxa" w:w="60"/>
              <w:right w:type="dxa" w:w="100"/>
            </w:tcMar>
            <w:vAlign w:val="center"/>
          </w:tcPr>
          <w:p>
            <w:pPr>
              <w:spacing w:after="0"/>
            </w:pPr>
            <w:r>
              <w:rPr>
                <w:b w:val="false"/>
                <w:bCs w:val="false"/>
                <w:color w:val="000000"/>
                <w:sz w:val="18"/>
                <w:szCs w:val="18"/>
              </w:rPr>
              <w:t xml:space="preserve">Harmonized System codes for the cargo’s commodity lines.</w:t>
            </w:r>
          </w:p>
        </w:tc>
        <w:tc>
          <w:tcPr>
            <w:tcW w:type="dxa" w:w="2340"/>
            <w:tcMar>
              <w:top w:type="dxa" w:w="60"/>
              <w:left w:type="dxa" w:w="100"/>
              <w:bottom w:type="dxa" w:w="60"/>
              <w:right w:type="dxa" w:w="100"/>
            </w:tcMar>
            <w:vAlign w:val="center"/>
          </w:tcPr>
          <w:p>
            <w:pPr>
              <w:spacing w:after="0"/>
            </w:pPr>
            <w:r>
              <w:rPr>
                <w:b w:val="false"/>
                <w:bCs w:val="false"/>
                <w:color w:val="000000"/>
                <w:sz w:val="18"/>
                <w:szCs w:val="18"/>
              </w:rPr>
              <w:t xml:space="preserve"/>
            </w:r>
          </w:p>
        </w:tc>
      </w:tr>
      <w:tr>
        <w:tc>
          <w:tcPr>
            <w:tcW w:type="dxa" w:w="20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broker_id</w:t>
            </w:r>
          </w:p>
        </w:tc>
        <w:tc>
          <w:tcPr>
            <w:tcW w:type="dxa" w:w="15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UUID</w:t>
            </w:r>
          </w:p>
        </w:tc>
        <w:tc>
          <w:tcPr>
            <w:tcW w:type="dxa" w:w="38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Customs broker of record.</w:t>
            </w:r>
          </w:p>
        </w:tc>
        <w:tc>
          <w:tcPr>
            <w:tcW w:type="dxa" w:w="23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FK → ref.brokers.broker_id</w:t>
            </w:r>
          </w:p>
        </w:tc>
      </w:tr>
      <w:tr>
        <w:tc>
          <w:tcPr>
            <w:tcW w:type="dxa" w:w="2000"/>
            <w:tcMar>
              <w:top w:type="dxa" w:w="60"/>
              <w:left w:type="dxa" w:w="100"/>
              <w:bottom w:type="dxa" w:w="60"/>
              <w:right w:type="dxa" w:w="100"/>
            </w:tcMar>
            <w:vAlign w:val="center"/>
          </w:tcPr>
          <w:p>
            <w:pPr>
              <w:spacing w:after="0"/>
            </w:pPr>
            <w:r>
              <w:rPr>
                <w:b w:val="false"/>
                <w:bCs w:val="false"/>
                <w:color w:val="000000"/>
                <w:sz w:val="18"/>
                <w:szCs w:val="18"/>
              </w:rPr>
              <w:t xml:space="preserve">status</w:t>
            </w:r>
          </w:p>
        </w:tc>
        <w:tc>
          <w:tcPr>
            <w:tcW w:type="dxa" w:w="1500"/>
            <w:tcMar>
              <w:top w:type="dxa" w:w="60"/>
              <w:left w:type="dxa" w:w="100"/>
              <w:bottom w:type="dxa" w:w="60"/>
              <w:right w:type="dxa" w:w="100"/>
            </w:tcMar>
            <w:vAlign w:val="center"/>
          </w:tcPr>
          <w:p>
            <w:pPr>
              <w:spacing w:after="0"/>
            </w:pPr>
            <w:r>
              <w:rPr>
                <w:b w:val="false"/>
                <w:bCs w:val="false"/>
                <w:color w:val="000000"/>
                <w:sz w:val="18"/>
                <w:szCs w:val="18"/>
              </w:rPr>
              <w:t xml:space="preserve">ENUM</w:t>
            </w:r>
          </w:p>
        </w:tc>
        <w:tc>
          <w:tcPr>
            <w:tcW w:type="dxa" w:w="3800"/>
            <w:tcMar>
              <w:top w:type="dxa" w:w="60"/>
              <w:left w:type="dxa" w:w="100"/>
              <w:bottom w:type="dxa" w:w="60"/>
              <w:right w:type="dxa" w:w="100"/>
            </w:tcMar>
            <w:vAlign w:val="center"/>
          </w:tcPr>
          <w:p>
            <w:pPr>
              <w:spacing w:after="0"/>
            </w:pPr>
            <w:r>
              <w:rPr>
                <w:b w:val="false"/>
                <w:bCs w:val="false"/>
                <w:color w:val="000000"/>
                <w:sz w:val="18"/>
                <w:szCs w:val="18"/>
              </w:rPr>
              <w:t xml:space="preserve">Pending Filing, Filed, Under Inspection, Cleared, Held, Rejected.</w:t>
            </w:r>
          </w:p>
        </w:tc>
        <w:tc>
          <w:tcPr>
            <w:tcW w:type="dxa" w:w="2340"/>
            <w:tcMar>
              <w:top w:type="dxa" w:w="60"/>
              <w:left w:type="dxa" w:w="100"/>
              <w:bottom w:type="dxa" w:w="60"/>
              <w:right w:type="dxa" w:w="100"/>
            </w:tcMar>
            <w:vAlign w:val="center"/>
          </w:tcPr>
          <w:p>
            <w:pPr>
              <w:spacing w:after="0"/>
            </w:pPr>
            <w:r>
              <w:rPr>
                <w:b w:val="false"/>
                <w:bCs w:val="false"/>
                <w:color w:val="000000"/>
                <w:sz w:val="18"/>
                <w:szCs w:val="18"/>
              </w:rPr>
              <w:t xml:space="preserve"/>
            </w:r>
          </w:p>
        </w:tc>
      </w:tr>
      <w:tr>
        <w:tc>
          <w:tcPr>
            <w:tcW w:type="dxa" w:w="20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duty_amount / tax_amount</w:t>
            </w:r>
          </w:p>
        </w:tc>
        <w:tc>
          <w:tcPr>
            <w:tcW w:type="dxa" w:w="15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DECIMAL(18,2)</w:t>
            </w:r>
          </w:p>
        </w:tc>
        <w:tc>
          <w:tcPr>
            <w:tcW w:type="dxa" w:w="38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Assessed duty and tax.</w:t>
            </w:r>
          </w:p>
        </w:tc>
        <w:tc>
          <w:tcPr>
            <w:tcW w:type="dxa" w:w="23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
            </w:r>
          </w:p>
        </w:tc>
      </w:tr>
      <w:tr>
        <w:tc>
          <w:tcPr>
            <w:tcW w:type="dxa" w:w="2000"/>
            <w:tcMar>
              <w:top w:type="dxa" w:w="60"/>
              <w:left w:type="dxa" w:w="100"/>
              <w:bottom w:type="dxa" w:w="60"/>
              <w:right w:type="dxa" w:w="100"/>
            </w:tcMar>
            <w:vAlign w:val="center"/>
          </w:tcPr>
          <w:p>
            <w:pPr>
              <w:spacing w:after="0"/>
            </w:pPr>
            <w:r>
              <w:rPr>
                <w:b w:val="false"/>
                <w:bCs w:val="false"/>
                <w:color w:val="000000"/>
                <w:sz w:val="18"/>
                <w:szCs w:val="18"/>
              </w:rPr>
              <w:t xml:space="preserve">currency_code</w:t>
            </w:r>
          </w:p>
        </w:tc>
        <w:tc>
          <w:tcPr>
            <w:tcW w:type="dxa" w:w="1500"/>
            <w:tcMar>
              <w:top w:type="dxa" w:w="60"/>
              <w:left w:type="dxa" w:w="100"/>
              <w:bottom w:type="dxa" w:w="60"/>
              <w:right w:type="dxa" w:w="100"/>
            </w:tcMar>
            <w:vAlign w:val="center"/>
          </w:tcPr>
          <w:p>
            <w:pPr>
              <w:spacing w:after="0"/>
            </w:pPr>
            <w:r>
              <w:rPr>
                <w:b w:val="false"/>
                <w:bCs w:val="false"/>
                <w:color w:val="000000"/>
                <w:sz w:val="18"/>
                <w:szCs w:val="18"/>
              </w:rPr>
              <w:t xml:space="preserve">CHAR(3)</w:t>
            </w:r>
          </w:p>
        </w:tc>
        <w:tc>
          <w:tcPr>
            <w:tcW w:type="dxa" w:w="3800"/>
            <w:tcMar>
              <w:top w:type="dxa" w:w="60"/>
              <w:left w:type="dxa" w:w="100"/>
              <w:bottom w:type="dxa" w:w="60"/>
              <w:right w:type="dxa" w:w="100"/>
            </w:tcMar>
            <w:vAlign w:val="center"/>
          </w:tcPr>
          <w:p>
            <w:pPr>
              <w:spacing w:after="0"/>
            </w:pPr>
            <w:r>
              <w:rPr>
                <w:b w:val="false"/>
                <w:bCs w:val="false"/>
                <w:color w:val="000000"/>
                <w:sz w:val="18"/>
                <w:szCs w:val="18"/>
              </w:rPr>
              <w:t xml:space="preserve">Currency of duty/tax amounts.</w:t>
            </w:r>
          </w:p>
        </w:tc>
        <w:tc>
          <w:tcPr>
            <w:tcW w:type="dxa" w:w="2340"/>
            <w:tcMar>
              <w:top w:type="dxa" w:w="60"/>
              <w:left w:type="dxa" w:w="100"/>
              <w:bottom w:type="dxa" w:w="60"/>
              <w:right w:type="dxa" w:w="100"/>
            </w:tcMar>
            <w:vAlign w:val="center"/>
          </w:tcPr>
          <w:p>
            <w:pPr>
              <w:spacing w:after="0"/>
            </w:pPr>
            <w:r>
              <w:rPr>
                <w:b w:val="false"/>
                <w:bCs w:val="false"/>
                <w:color w:val="000000"/>
                <w:sz w:val="18"/>
                <w:szCs w:val="18"/>
              </w:rPr>
              <w:t xml:space="preserve">FK → currency.code</w:t>
            </w:r>
          </w:p>
        </w:tc>
      </w:tr>
      <w:tr>
        <w:tc>
          <w:tcPr>
            <w:tcW w:type="dxa" w:w="20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filed_at / cleared_at</w:t>
            </w:r>
          </w:p>
        </w:tc>
        <w:tc>
          <w:tcPr>
            <w:tcW w:type="dxa" w:w="15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TIMESTAMP, nullable</w:t>
            </w:r>
          </w:p>
        </w:tc>
        <w:tc>
          <w:tcPr>
            <w:tcW w:type="dxa" w:w="38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Filing and clearance timestamps — cleared_at drives the CCD tracking event.</w:t>
            </w:r>
          </w:p>
        </w:tc>
        <w:tc>
          <w:tcPr>
            <w:tcW w:type="dxa" w:w="23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
            </w:r>
          </w:p>
        </w:tc>
      </w:tr>
      <w:tr>
        <w:tc>
          <w:tcPr>
            <w:tcW w:type="dxa" w:w="2000"/>
            <w:tcMar>
              <w:top w:type="dxa" w:w="60"/>
              <w:left w:type="dxa" w:w="100"/>
              <w:bottom w:type="dxa" w:w="60"/>
              <w:right w:type="dxa" w:w="100"/>
            </w:tcMar>
            <w:vAlign w:val="center"/>
          </w:tcPr>
          <w:p>
            <w:pPr>
              <w:spacing w:after="0"/>
            </w:pPr>
            <w:r>
              <w:rPr>
                <w:b w:val="false"/>
                <w:bCs w:val="false"/>
                <w:color w:val="000000"/>
                <w:sz w:val="18"/>
                <w:szCs w:val="18"/>
              </w:rPr>
              <w:t xml:space="preserve">hold_reason</w:t>
            </w:r>
          </w:p>
        </w:tc>
        <w:tc>
          <w:tcPr>
            <w:tcW w:type="dxa" w:w="1500"/>
            <w:tcMar>
              <w:top w:type="dxa" w:w="60"/>
              <w:left w:type="dxa" w:w="100"/>
              <w:bottom w:type="dxa" w:w="60"/>
              <w:right w:type="dxa" w:w="100"/>
            </w:tcMar>
            <w:vAlign w:val="center"/>
          </w:tcPr>
          <w:p>
            <w:pPr>
              <w:spacing w:after="0"/>
            </w:pPr>
            <w:r>
              <w:rPr>
                <w:b w:val="false"/>
                <w:bCs w:val="false"/>
                <w:color w:val="000000"/>
                <w:sz w:val="18"/>
                <w:szCs w:val="18"/>
              </w:rPr>
              <w:t xml:space="preserve">VARCHAR(200), nullable</w:t>
            </w:r>
          </w:p>
        </w:tc>
        <w:tc>
          <w:tcPr>
            <w:tcW w:type="dxa" w:w="3800"/>
            <w:tcMar>
              <w:top w:type="dxa" w:w="60"/>
              <w:left w:type="dxa" w:w="100"/>
              <w:bottom w:type="dxa" w:w="60"/>
              <w:right w:type="dxa" w:w="100"/>
            </w:tcMar>
            <w:vAlign w:val="center"/>
          </w:tcPr>
          <w:p>
            <w:pPr>
              <w:spacing w:after="0"/>
            </w:pPr>
            <w:r>
              <w:rPr>
                <w:b w:val="false"/>
                <w:bCs w:val="false"/>
                <w:color w:val="000000"/>
                <w:sz w:val="18"/>
                <w:szCs w:val="18"/>
              </w:rPr>
              <w:t xml:space="preserve">Populated when status = Held; feeds the exception queue (§4.4).</w:t>
            </w:r>
          </w:p>
        </w:tc>
        <w:tc>
          <w:tcPr>
            <w:tcW w:type="dxa" w:w="2340"/>
            <w:tcMar>
              <w:top w:type="dxa" w:w="60"/>
              <w:left w:type="dxa" w:w="100"/>
              <w:bottom w:type="dxa" w:w="60"/>
              <w:right w:type="dxa" w:w="100"/>
            </w:tcMar>
            <w:vAlign w:val="center"/>
          </w:tcPr>
          <w:p>
            <w:pPr>
              <w:spacing w:after="0"/>
            </w:pPr>
            <w:r>
              <w:rPr>
                <w:b w:val="false"/>
                <w:bCs w:val="false"/>
                <w:color w:val="000000"/>
                <w:sz w:val="18"/>
                <w:szCs w:val="18"/>
              </w:rPr>
              <w:t xml:space="preserve"/>
            </w:r>
          </w:p>
        </w:tc>
      </w:tr>
    </w:tbl>
    <w:p>
      <w:pPr>
        <w:spacing w:after="200"/>
      </w:pPr>
    </w:p>
    <w:p>
      <w:pPr>
        <w:pStyle w:val="Heading2"/>
        <w:spacing w:after="150" w:before="300"/>
      </w:pPr>
      <w:r>
        <w:t xml:space="preserve">3.8 Entity Relationship Overview</w:t>
      </w:r>
    </w:p>
    <w:p>
      <w:pPr>
        <w:spacing w:after="160" w:line="276"/>
      </w:pPr>
      <w:r>
        <w:t xml:space="preserve">The core chain runs Opportunity → Shipment → Booking Request → Air Waybill → Flight Manifest / ULD → Tracking Events, with Customs Clearance attached to the Shipment/AWB at each jurisdiction boundary. As in the base platform, the CRM→logistics hand-off (Opportunity → Shipment) is implemented as a domain event, not a direct write (§5.2).</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840"/>
      </w:tblGrid>
      <w:tr>
        <w:trPr>
          <w:tblHeader/>
        </w:trPr>
        <w:tc>
          <w:tcPr>
            <w:tcW w:type="dxa" w:w="3000"/>
            <w:shd w:fill="1F3864" w:val="clear"/>
            <w:tcMar>
              <w:top w:type="dxa" w:w="80"/>
              <w:left w:type="dxa" w:w="100"/>
              <w:bottom w:type="dxa" w:w="80"/>
              <w:right w:type="dxa" w:w="100"/>
            </w:tcMar>
            <w:vAlign w:val="center"/>
          </w:tcPr>
          <w:p>
            <w:pPr>
              <w:spacing w:after="0"/>
            </w:pPr>
            <w:r>
              <w:rPr>
                <w:b/>
                <w:bCs/>
                <w:color w:val="FFFFFF"/>
                <w:sz w:val="18"/>
                <w:szCs w:val="18"/>
              </w:rPr>
              <w:t xml:space="preserve">Relationship</w:t>
            </w:r>
          </w:p>
        </w:tc>
        <w:tc>
          <w:tcPr>
            <w:tcW w:type="dxa" w:w="1800"/>
            <w:shd w:fill="1F3864" w:val="clear"/>
            <w:tcMar>
              <w:top w:type="dxa" w:w="80"/>
              <w:left w:type="dxa" w:w="100"/>
              <w:bottom w:type="dxa" w:w="80"/>
              <w:right w:type="dxa" w:w="100"/>
            </w:tcMar>
            <w:vAlign w:val="center"/>
          </w:tcPr>
          <w:p>
            <w:pPr>
              <w:spacing w:after="0"/>
            </w:pPr>
            <w:r>
              <w:rPr>
                <w:b/>
                <w:bCs/>
                <w:color w:val="FFFFFF"/>
                <w:sz w:val="18"/>
                <w:szCs w:val="18"/>
              </w:rPr>
              <w:t xml:space="preserve">Cardinality</w:t>
            </w:r>
          </w:p>
        </w:tc>
        <w:tc>
          <w:tcPr>
            <w:tcW w:type="dxa" w:w="4840"/>
            <w:shd w:fill="1F3864" w:val="clear"/>
            <w:tcMar>
              <w:top w:type="dxa" w:w="80"/>
              <w:left w:type="dxa" w:w="100"/>
              <w:bottom w:type="dxa" w:w="80"/>
              <w:right w:type="dxa" w:w="100"/>
            </w:tcMar>
            <w:vAlign w:val="center"/>
          </w:tcPr>
          <w:p>
            <w:pPr>
              <w:spacing w:after="0"/>
            </w:pPr>
            <w:r>
              <w:rPr>
                <w:b/>
                <w:bCs/>
                <w:color w:val="FFFFFF"/>
                <w:sz w:val="18"/>
                <w:szCs w:val="18"/>
              </w:rPr>
              <w:t xml:space="preserve">Meaning</w:t>
            </w:r>
          </w:p>
        </w:tc>
      </w:tr>
      <w:tr>
        <w:tc>
          <w:tcPr>
            <w:tcW w:type="dxa" w:w="3000"/>
            <w:tcMar>
              <w:top w:type="dxa" w:w="60"/>
              <w:left w:type="dxa" w:w="100"/>
              <w:bottom w:type="dxa" w:w="60"/>
              <w:right w:type="dxa" w:w="100"/>
            </w:tcMar>
            <w:vAlign w:val="center"/>
          </w:tcPr>
          <w:p>
            <w:pPr>
              <w:spacing w:after="0"/>
            </w:pPr>
            <w:r>
              <w:rPr>
                <w:b w:val="false"/>
                <w:bCs w:val="false"/>
                <w:color w:val="000000"/>
                <w:sz w:val="18"/>
                <w:szCs w:val="18"/>
              </w:rPr>
              <w:t xml:space="preserve">Opportunity → Shipment</w:t>
            </w:r>
          </w:p>
        </w:tc>
        <w:tc>
          <w:tcPr>
            <w:tcW w:type="dxa" w:w="1800"/>
            <w:tcMar>
              <w:top w:type="dxa" w:w="60"/>
              <w:left w:type="dxa" w:w="100"/>
              <w:bottom w:type="dxa" w:w="60"/>
              <w:right w:type="dxa" w:w="100"/>
            </w:tcMar>
            <w:vAlign w:val="center"/>
          </w:tcPr>
          <w:p>
            <w:pPr>
              <w:spacing w:after="0"/>
            </w:pPr>
            <w:r>
              <w:rPr>
                <w:b w:val="false"/>
                <w:bCs w:val="false"/>
                <w:color w:val="000000"/>
                <w:sz w:val="18"/>
                <w:szCs w:val="18"/>
              </w:rPr>
              <w:t xml:space="preserve">1 : N</w:t>
            </w:r>
          </w:p>
        </w:tc>
        <w:tc>
          <w:tcPr>
            <w:tcW w:type="dxa" w:w="4840"/>
            <w:tcMar>
              <w:top w:type="dxa" w:w="60"/>
              <w:left w:type="dxa" w:w="100"/>
              <w:bottom w:type="dxa" w:w="60"/>
              <w:right w:type="dxa" w:w="100"/>
            </w:tcMar>
            <w:vAlign w:val="center"/>
          </w:tcPr>
          <w:p>
            <w:pPr>
              <w:spacing w:after="0"/>
            </w:pPr>
            <w:r>
              <w:rPr>
                <w:b w:val="false"/>
                <w:bCs w:val="false"/>
                <w:color w:val="000000"/>
                <w:sz w:val="18"/>
                <w:szCs w:val="18"/>
              </w:rPr>
              <w:t xml:space="preserve">A Won opportunity creates an initial Shipment; repeat/spot shipments accumulate against the same account without a new Opportunity.</w:t>
            </w:r>
          </w:p>
        </w:tc>
      </w:tr>
      <w:tr>
        <w:tc>
          <w:tcPr>
            <w:tcW w:type="dxa" w:w="30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Shipment → Booking Request</w:t>
            </w:r>
          </w:p>
        </w:tc>
        <w:tc>
          <w:tcPr>
            <w:tcW w:type="dxa" w:w="18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1 : N</w:t>
            </w:r>
          </w:p>
        </w:tc>
        <w:tc>
          <w:tcPr>
            <w:tcW w:type="dxa" w:w="48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A shipment may be re-booked (waitlist, flight change) before space is confirmed.</w:t>
            </w:r>
          </w:p>
        </w:tc>
      </w:tr>
      <w:tr>
        <w:tc>
          <w:tcPr>
            <w:tcW w:type="dxa" w:w="3000"/>
            <w:tcMar>
              <w:top w:type="dxa" w:w="60"/>
              <w:left w:type="dxa" w:w="100"/>
              <w:bottom w:type="dxa" w:w="60"/>
              <w:right w:type="dxa" w:w="100"/>
            </w:tcMar>
            <w:vAlign w:val="center"/>
          </w:tcPr>
          <w:p>
            <w:pPr>
              <w:spacing w:after="0"/>
            </w:pPr>
            <w:r>
              <w:rPr>
                <w:b w:val="false"/>
                <w:bCs w:val="false"/>
                <w:color w:val="000000"/>
                <w:sz w:val="18"/>
                <w:szCs w:val="18"/>
              </w:rPr>
              <w:t xml:space="preserve">Shipment → Air Waybill</w:t>
            </w:r>
          </w:p>
        </w:tc>
        <w:tc>
          <w:tcPr>
            <w:tcW w:type="dxa" w:w="1800"/>
            <w:tcMar>
              <w:top w:type="dxa" w:w="60"/>
              <w:left w:type="dxa" w:w="100"/>
              <w:bottom w:type="dxa" w:w="60"/>
              <w:right w:type="dxa" w:w="100"/>
            </w:tcMar>
            <w:vAlign w:val="center"/>
          </w:tcPr>
          <w:p>
            <w:pPr>
              <w:spacing w:after="0"/>
            </w:pPr>
            <w:r>
              <w:rPr>
                <w:b w:val="false"/>
                <w:bCs w:val="false"/>
                <w:color w:val="000000"/>
                <w:sz w:val="18"/>
                <w:szCs w:val="18"/>
              </w:rPr>
              <w:t xml:space="preserve">1 : 1 (MAWB)</w:t>
            </w:r>
          </w:p>
        </w:tc>
        <w:tc>
          <w:tcPr>
            <w:tcW w:type="dxa" w:w="4840"/>
            <w:tcMar>
              <w:top w:type="dxa" w:w="60"/>
              <w:left w:type="dxa" w:w="100"/>
              <w:bottom w:type="dxa" w:w="60"/>
              <w:right w:type="dxa" w:w="100"/>
            </w:tcMar>
            <w:vAlign w:val="center"/>
          </w:tcPr>
          <w:p>
            <w:pPr>
              <w:spacing w:after="0"/>
            </w:pPr>
            <w:r>
              <w:rPr>
                <w:b w:val="false"/>
                <w:bCs w:val="false"/>
                <w:color w:val="000000"/>
                <w:sz w:val="18"/>
                <w:szCs w:val="18"/>
              </w:rPr>
              <w:t xml:space="preserve">Direct-carriage shipments are documented on exactly one Master AWB.</w:t>
            </w:r>
          </w:p>
        </w:tc>
      </w:tr>
      <w:tr>
        <w:tc>
          <w:tcPr>
            <w:tcW w:type="dxa" w:w="30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Air Waybill (Master) → Air Waybill (House)</w:t>
            </w:r>
          </w:p>
        </w:tc>
        <w:tc>
          <w:tcPr>
            <w:tcW w:type="dxa" w:w="18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1 : N</w:t>
            </w:r>
          </w:p>
        </w:tc>
        <w:tc>
          <w:tcPr>
            <w:tcW w:type="dxa" w:w="48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A consolidator’s Master AWB covers one or more House AWBs for individual shippers.</w:t>
            </w:r>
          </w:p>
        </w:tc>
      </w:tr>
      <w:tr>
        <w:tc>
          <w:tcPr>
            <w:tcW w:type="dxa" w:w="3000"/>
            <w:tcMar>
              <w:top w:type="dxa" w:w="60"/>
              <w:left w:type="dxa" w:w="100"/>
              <w:bottom w:type="dxa" w:w="60"/>
              <w:right w:type="dxa" w:w="100"/>
            </w:tcMar>
            <w:vAlign w:val="center"/>
          </w:tcPr>
          <w:p>
            <w:pPr>
              <w:spacing w:after="0"/>
            </w:pPr>
            <w:r>
              <w:rPr>
                <w:b w:val="false"/>
                <w:bCs w:val="false"/>
                <w:color w:val="000000"/>
                <w:sz w:val="18"/>
                <w:szCs w:val="18"/>
              </w:rPr>
              <w:t xml:space="preserve">Air Waybill ↔ Flight Manifest</w:t>
            </w:r>
          </w:p>
        </w:tc>
        <w:tc>
          <w:tcPr>
            <w:tcW w:type="dxa" w:w="1800"/>
            <w:tcMar>
              <w:top w:type="dxa" w:w="60"/>
              <w:left w:type="dxa" w:w="100"/>
              <w:bottom w:type="dxa" w:w="60"/>
              <w:right w:type="dxa" w:w="100"/>
            </w:tcMar>
            <w:vAlign w:val="center"/>
          </w:tcPr>
          <w:p>
            <w:pPr>
              <w:spacing w:after="0"/>
            </w:pPr>
            <w:r>
              <w:rPr>
                <w:b w:val="false"/>
                <w:bCs w:val="false"/>
                <w:color w:val="000000"/>
                <w:sz w:val="18"/>
                <w:szCs w:val="18"/>
              </w:rPr>
              <w:t xml:space="preserve">N : N</w:t>
            </w:r>
          </w:p>
        </w:tc>
        <w:tc>
          <w:tcPr>
            <w:tcW w:type="dxa" w:w="4840"/>
            <w:tcMar>
              <w:top w:type="dxa" w:w="60"/>
              <w:left w:type="dxa" w:w="100"/>
              <w:bottom w:type="dxa" w:w="60"/>
              <w:right w:type="dxa" w:w="100"/>
            </w:tcMar>
            <w:vAlign w:val="center"/>
          </w:tcPr>
          <w:p>
            <w:pPr>
              <w:spacing w:after="0"/>
            </w:pPr>
            <w:r>
              <w:rPr>
                <w:b w:val="false"/>
                <w:bCs w:val="false"/>
                <w:color w:val="000000"/>
                <w:sz w:val="18"/>
                <w:szCs w:val="18"/>
              </w:rPr>
              <w:t xml:space="preserve">Via manifest_line_items — supports split shipments carried across multiple flights.</w:t>
            </w:r>
          </w:p>
        </w:tc>
      </w:tr>
      <w:tr>
        <w:tc>
          <w:tcPr>
            <w:tcW w:type="dxa" w:w="30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Flight Manifest ↔ ULD</w:t>
            </w:r>
          </w:p>
        </w:tc>
        <w:tc>
          <w:tcPr>
            <w:tcW w:type="dxa" w:w="18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N : N</w:t>
            </w:r>
          </w:p>
        </w:tc>
        <w:tc>
          <w:tcPr>
            <w:tcW w:type="dxa" w:w="48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Via uld_allocations — one ULD can carry pieces from several AWBs; one AWB can be split across several ULDs.</w:t>
            </w:r>
          </w:p>
        </w:tc>
      </w:tr>
      <w:tr>
        <w:tc>
          <w:tcPr>
            <w:tcW w:type="dxa" w:w="3000"/>
            <w:tcMar>
              <w:top w:type="dxa" w:w="60"/>
              <w:left w:type="dxa" w:w="100"/>
              <w:bottom w:type="dxa" w:w="60"/>
              <w:right w:type="dxa" w:w="100"/>
            </w:tcMar>
            <w:vAlign w:val="center"/>
          </w:tcPr>
          <w:p>
            <w:pPr>
              <w:spacing w:after="0"/>
            </w:pPr>
            <w:r>
              <w:rPr>
                <w:b w:val="false"/>
                <w:bCs w:val="false"/>
                <w:color w:val="000000"/>
                <w:sz w:val="18"/>
                <w:szCs w:val="18"/>
              </w:rPr>
              <w:t xml:space="preserve">Air Waybill → Tracking Event</w:t>
            </w:r>
          </w:p>
        </w:tc>
        <w:tc>
          <w:tcPr>
            <w:tcW w:type="dxa" w:w="1800"/>
            <w:tcMar>
              <w:top w:type="dxa" w:w="60"/>
              <w:left w:type="dxa" w:w="100"/>
              <w:bottom w:type="dxa" w:w="60"/>
              <w:right w:type="dxa" w:w="100"/>
            </w:tcMar>
            <w:vAlign w:val="center"/>
          </w:tcPr>
          <w:p>
            <w:pPr>
              <w:spacing w:after="0"/>
            </w:pPr>
            <w:r>
              <w:rPr>
                <w:b w:val="false"/>
                <w:bCs w:val="false"/>
                <w:color w:val="000000"/>
                <w:sz w:val="18"/>
                <w:szCs w:val="18"/>
              </w:rPr>
              <w:t xml:space="preserve">1 : N</w:t>
            </w:r>
          </w:p>
        </w:tc>
        <w:tc>
          <w:tcPr>
            <w:tcW w:type="dxa" w:w="4840"/>
            <w:tcMar>
              <w:top w:type="dxa" w:w="60"/>
              <w:left w:type="dxa" w:w="100"/>
              <w:bottom w:type="dxa" w:w="60"/>
              <w:right w:type="dxa" w:w="100"/>
            </w:tcMar>
            <w:vAlign w:val="center"/>
          </w:tcPr>
          <w:p>
            <w:pPr>
              <w:spacing w:after="0"/>
            </w:pPr>
            <w:r>
              <w:rPr>
                <w:b w:val="false"/>
                <w:bCs w:val="false"/>
                <w:color w:val="000000"/>
                <w:sz w:val="18"/>
                <w:szCs w:val="18"/>
              </w:rPr>
              <w:t xml:space="preserve">Every FSU milestone and manual scan is appended, never overwritten.</w:t>
            </w:r>
          </w:p>
        </w:tc>
      </w:tr>
      <w:tr>
        <w:tc>
          <w:tcPr>
            <w:tcW w:type="dxa" w:w="30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Shipment / Air Waybill → Customs Clearance</w:t>
            </w:r>
          </w:p>
        </w:tc>
        <w:tc>
          <w:tcPr>
            <w:tcW w:type="dxa" w:w="18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1 : N</w:t>
            </w:r>
          </w:p>
        </w:tc>
        <w:tc>
          <w:tcPr>
            <w:tcW w:type="dxa" w:w="48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One clearance record per jurisdiction leg (export at origin, import at destination, transit where applicable).</w:t>
            </w:r>
          </w:p>
        </w:tc>
      </w:tr>
    </w:tbl>
    <w:p>
      <w:pPr>
        <w:spacing w:after="200"/>
      </w:pPr>
    </w:p>
    <w:p>
      <w:pPr>
        <w:pStyle w:val="Heading2"/>
        <w:spacing w:after="150" w:before="300"/>
      </w:pPr>
      <w:r>
        <w:t xml:space="preserve">3.9 Cross-Cutting Fields</w:t>
      </w:r>
    </w:p>
    <w:p>
      <w:pPr>
        <w:spacing w:after="160" w:line="276"/>
      </w:pPr>
      <w:r>
        <w:t xml:space="preserve">Every table in the logistics domain carries the same audit and multi-tenancy columns as the base CRM/ERP schema, so RBAC, lineage, and the AI query layer (§6.3) apply uniformly across both domains: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440"/>
      </w:tblGrid>
      <w:tr>
        <w:trPr>
          <w:tblHeader/>
        </w:trPr>
        <w:tc>
          <w:tcPr>
            <w:tcW w:type="dxa" w:w="2400"/>
            <w:shd w:fill="1F3864" w:val="clear"/>
            <w:tcMar>
              <w:top w:type="dxa" w:w="80"/>
              <w:left w:type="dxa" w:w="100"/>
              <w:bottom w:type="dxa" w:w="80"/>
              <w:right w:type="dxa" w:w="100"/>
            </w:tcMar>
            <w:vAlign w:val="center"/>
          </w:tcPr>
          <w:p>
            <w:pPr>
              <w:spacing w:after="0"/>
            </w:pPr>
            <w:r>
              <w:rPr>
                <w:b/>
                <w:bCs/>
                <w:color w:val="FFFFFF"/>
                <w:sz w:val="18"/>
                <w:szCs w:val="18"/>
              </w:rPr>
              <w:t xml:space="preserve">Field</w:t>
            </w:r>
          </w:p>
        </w:tc>
        <w:tc>
          <w:tcPr>
            <w:tcW w:type="dxa" w:w="1800"/>
            <w:shd w:fill="1F3864" w:val="clear"/>
            <w:tcMar>
              <w:top w:type="dxa" w:w="80"/>
              <w:left w:type="dxa" w:w="100"/>
              <w:bottom w:type="dxa" w:w="80"/>
              <w:right w:type="dxa" w:w="100"/>
            </w:tcMar>
            <w:vAlign w:val="center"/>
          </w:tcPr>
          <w:p>
            <w:pPr>
              <w:spacing w:after="0"/>
            </w:pPr>
            <w:r>
              <w:rPr>
                <w:b/>
                <w:bCs/>
                <w:color w:val="FFFFFF"/>
                <w:sz w:val="18"/>
                <w:szCs w:val="18"/>
              </w:rPr>
              <w:t xml:space="preserve">Type</w:t>
            </w:r>
          </w:p>
        </w:tc>
        <w:tc>
          <w:tcPr>
            <w:tcW w:type="dxa" w:w="5440"/>
            <w:shd w:fill="1F3864" w:val="clear"/>
            <w:tcMar>
              <w:top w:type="dxa" w:w="80"/>
              <w:left w:type="dxa" w:w="100"/>
              <w:bottom w:type="dxa" w:w="80"/>
              <w:right w:type="dxa" w:w="100"/>
            </w:tcMar>
            <w:vAlign w:val="center"/>
          </w:tcPr>
          <w:p>
            <w:pPr>
              <w:spacing w:after="0"/>
            </w:pPr>
            <w:r>
              <w:rPr>
                <w:b/>
                <w:bCs/>
                <w:color w:val="FFFFFF"/>
                <w:sz w:val="18"/>
                <w:szCs w:val="18"/>
              </w:rPr>
              <w:t xml:space="preserve">Purpose</w:t>
            </w:r>
          </w:p>
        </w:tc>
      </w:tr>
      <w:tr>
        <w:tc>
          <w:tcPr>
            <w:tcW w:type="dxa" w:w="2400"/>
            <w:tcMar>
              <w:top w:type="dxa" w:w="60"/>
              <w:left w:type="dxa" w:w="100"/>
              <w:bottom w:type="dxa" w:w="60"/>
              <w:right w:type="dxa" w:w="100"/>
            </w:tcMar>
            <w:vAlign w:val="center"/>
          </w:tcPr>
          <w:p>
            <w:pPr>
              <w:spacing w:after="0"/>
            </w:pPr>
            <w:r>
              <w:rPr>
                <w:b w:val="false"/>
                <w:bCs w:val="false"/>
                <w:color w:val="000000"/>
                <w:sz w:val="18"/>
                <w:szCs w:val="18"/>
              </w:rPr>
              <w:t xml:space="preserve">created_at / updated_at</w:t>
            </w:r>
          </w:p>
        </w:tc>
        <w:tc>
          <w:tcPr>
            <w:tcW w:type="dxa" w:w="1800"/>
            <w:tcMar>
              <w:top w:type="dxa" w:w="60"/>
              <w:left w:type="dxa" w:w="100"/>
              <w:bottom w:type="dxa" w:w="60"/>
              <w:right w:type="dxa" w:w="100"/>
            </w:tcMar>
            <w:vAlign w:val="center"/>
          </w:tcPr>
          <w:p>
            <w:pPr>
              <w:spacing w:after="0"/>
            </w:pPr>
            <w:r>
              <w:rPr>
                <w:b w:val="false"/>
                <w:bCs w:val="false"/>
                <w:color w:val="000000"/>
                <w:sz w:val="18"/>
                <w:szCs w:val="18"/>
              </w:rPr>
              <w:t xml:space="preserve">TIMESTAMP</w:t>
            </w:r>
          </w:p>
        </w:tc>
        <w:tc>
          <w:tcPr>
            <w:tcW w:type="dxa" w:w="5440"/>
            <w:tcMar>
              <w:top w:type="dxa" w:w="60"/>
              <w:left w:type="dxa" w:w="100"/>
              <w:bottom w:type="dxa" w:w="60"/>
              <w:right w:type="dxa" w:w="100"/>
            </w:tcMar>
            <w:vAlign w:val="center"/>
          </w:tcPr>
          <w:p>
            <w:pPr>
              <w:spacing w:after="0"/>
            </w:pPr>
            <w:r>
              <w:rPr>
                <w:b w:val="false"/>
                <w:bCs w:val="false"/>
                <w:color w:val="000000"/>
                <w:sz w:val="18"/>
                <w:szCs w:val="18"/>
              </w:rPr>
              <w:t xml:space="preserve">Standard audit timestamps.</w:t>
            </w:r>
          </w:p>
        </w:tc>
      </w:tr>
      <w:tr>
        <w:tc>
          <w:tcPr>
            <w:tcW w:type="dxa" w:w="24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created_by / updated_by</w:t>
            </w:r>
          </w:p>
        </w:tc>
        <w:tc>
          <w:tcPr>
            <w:tcW w:type="dxa" w:w="18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UUID</w:t>
            </w:r>
          </w:p>
        </w:tc>
        <w:tc>
          <w:tcPr>
            <w:tcW w:type="dxa" w:w="54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User or service that last modified the row.</w:t>
            </w:r>
          </w:p>
        </w:tc>
      </w:tr>
      <w:tr>
        <w:tc>
          <w:tcPr>
            <w:tcW w:type="dxa" w:w="2400"/>
            <w:tcMar>
              <w:top w:type="dxa" w:w="60"/>
              <w:left w:type="dxa" w:w="100"/>
              <w:bottom w:type="dxa" w:w="60"/>
              <w:right w:type="dxa" w:w="100"/>
            </w:tcMar>
            <w:vAlign w:val="center"/>
          </w:tcPr>
          <w:p>
            <w:pPr>
              <w:spacing w:after="0"/>
            </w:pPr>
            <w:r>
              <w:rPr>
                <w:b w:val="false"/>
                <w:bCs w:val="false"/>
                <w:color w:val="000000"/>
                <w:sz w:val="18"/>
                <w:szCs w:val="18"/>
              </w:rPr>
              <w:t xml:space="preserve">tenant_id</w:t>
            </w:r>
          </w:p>
        </w:tc>
        <w:tc>
          <w:tcPr>
            <w:tcW w:type="dxa" w:w="1800"/>
            <w:tcMar>
              <w:top w:type="dxa" w:w="60"/>
              <w:left w:type="dxa" w:w="100"/>
              <w:bottom w:type="dxa" w:w="60"/>
              <w:right w:type="dxa" w:w="100"/>
            </w:tcMar>
            <w:vAlign w:val="center"/>
          </w:tcPr>
          <w:p>
            <w:pPr>
              <w:spacing w:after="0"/>
            </w:pPr>
            <w:r>
              <w:rPr>
                <w:b w:val="false"/>
                <w:bCs w:val="false"/>
                <w:color w:val="000000"/>
                <w:sz w:val="18"/>
                <w:szCs w:val="18"/>
              </w:rPr>
              <w:t xml:space="preserve">UUID</w:t>
            </w:r>
          </w:p>
        </w:tc>
        <w:tc>
          <w:tcPr>
            <w:tcW w:type="dxa" w:w="5440"/>
            <w:tcMar>
              <w:top w:type="dxa" w:w="60"/>
              <w:left w:type="dxa" w:w="100"/>
              <w:bottom w:type="dxa" w:w="60"/>
              <w:right w:type="dxa" w:w="100"/>
            </w:tcMar>
            <w:vAlign w:val="center"/>
          </w:tcPr>
          <w:p>
            <w:pPr>
              <w:spacing w:after="0"/>
            </w:pPr>
            <w:r>
              <w:rPr>
                <w:b w:val="false"/>
                <w:bCs w:val="false"/>
                <w:color w:val="000000"/>
                <w:sz w:val="18"/>
                <w:szCs w:val="18"/>
              </w:rPr>
              <w:t xml:space="preserve">Client / business-unit scoping for multi-tenant deployments.</w:t>
            </w:r>
          </w:p>
        </w:tc>
      </w:tr>
      <w:tr>
        <w:tc>
          <w:tcPr>
            <w:tcW w:type="dxa" w:w="24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row_version</w:t>
            </w:r>
          </w:p>
        </w:tc>
        <w:tc>
          <w:tcPr>
            <w:tcW w:type="dxa" w:w="18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INTEGER</w:t>
            </w:r>
          </w:p>
        </w:tc>
        <w:tc>
          <w:tcPr>
            <w:tcW w:type="dxa" w:w="54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Optimistic concurrency control.</w:t>
            </w:r>
          </w:p>
        </w:tc>
      </w:tr>
      <w:tr>
        <w:tc>
          <w:tcPr>
            <w:tcW w:type="dxa" w:w="2400"/>
            <w:tcMar>
              <w:top w:type="dxa" w:w="60"/>
              <w:left w:type="dxa" w:w="100"/>
              <w:bottom w:type="dxa" w:w="60"/>
              <w:right w:type="dxa" w:w="100"/>
            </w:tcMar>
            <w:vAlign w:val="center"/>
          </w:tcPr>
          <w:p>
            <w:pPr>
              <w:spacing w:after="0"/>
            </w:pPr>
            <w:r>
              <w:rPr>
                <w:b w:val="false"/>
                <w:bCs w:val="false"/>
                <w:color w:val="000000"/>
                <w:sz w:val="18"/>
                <w:szCs w:val="18"/>
              </w:rPr>
              <w:t xml:space="preserve">is_deleted</w:t>
            </w:r>
          </w:p>
        </w:tc>
        <w:tc>
          <w:tcPr>
            <w:tcW w:type="dxa" w:w="1800"/>
            <w:tcMar>
              <w:top w:type="dxa" w:w="60"/>
              <w:left w:type="dxa" w:w="100"/>
              <w:bottom w:type="dxa" w:w="60"/>
              <w:right w:type="dxa" w:w="100"/>
            </w:tcMar>
            <w:vAlign w:val="center"/>
          </w:tcPr>
          <w:p>
            <w:pPr>
              <w:spacing w:after="0"/>
            </w:pPr>
            <w:r>
              <w:rPr>
                <w:b w:val="false"/>
                <w:bCs w:val="false"/>
                <w:color w:val="000000"/>
                <w:sz w:val="18"/>
                <w:szCs w:val="18"/>
              </w:rPr>
              <w:t xml:space="preserve">BOOLEAN</w:t>
            </w:r>
          </w:p>
        </w:tc>
        <w:tc>
          <w:tcPr>
            <w:tcW w:type="dxa" w:w="5440"/>
            <w:tcMar>
              <w:top w:type="dxa" w:w="60"/>
              <w:left w:type="dxa" w:w="100"/>
              <w:bottom w:type="dxa" w:w="60"/>
              <w:right w:type="dxa" w:w="100"/>
            </w:tcMar>
            <w:vAlign w:val="center"/>
          </w:tcPr>
          <w:p>
            <w:pPr>
              <w:spacing w:after="0"/>
            </w:pPr>
            <w:r>
              <w:rPr>
                <w:b w:val="false"/>
                <w:bCs w:val="false"/>
                <w:color w:val="000000"/>
                <w:sz w:val="18"/>
                <w:szCs w:val="18"/>
              </w:rPr>
              <w:t xml:space="preserve">Soft delete flag; rows are never hard-deleted, preserving the tracking-event and customs audit trail.</w:t>
            </w:r>
          </w:p>
        </w:tc>
      </w:tr>
    </w:tbl>
    <w:p>
      <w:pPr>
        <w:spacing w:after="200"/>
      </w:pPr>
    </w:p>
    <w:p>
      <w:r>
        <w:br w:type="page"/>
      </w:r>
    </w:p>
    <w:p>
      <w:pPr>
        <w:pStyle w:val="Heading1"/>
        <w:spacing w:after="200" w:before="400"/>
      </w:pPr>
      <w:r>
        <w:t xml:space="preserve">4. Technical UI/UX Specification</w:t>
      </w:r>
    </w:p>
    <w:p>
      <w:pPr>
        <w:spacing w:after="160" w:line="276"/>
      </w:pPr>
      <w:r>
        <w:t xml:space="preserve">The logistics workspace extends the base platform’s three-region layout (sidebar, workspace, docked AI panel, per the UI Architecture Guide §1) with an Operations section and three freight-specific interaction patterns: AI-assisted document extraction, dynamic tracking visualization, and exception management.</w:t>
      </w:r>
    </w:p>
    <w:p>
      <w:pPr>
        <w:pStyle w:val="Heading2"/>
        <w:spacing w:after="150" w:before="300"/>
      </w:pPr>
      <w:r>
        <w:t xml:space="preserve">4.1 Navigation &amp; Workspace Extension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640"/>
      </w:tblGrid>
      <w:tr>
        <w:trPr>
          <w:tblHeader/>
        </w:trPr>
        <w:tc>
          <w:tcPr>
            <w:tcW w:type="dxa" w:w="1800"/>
            <w:shd w:fill="1F3864" w:val="clear"/>
            <w:tcMar>
              <w:top w:type="dxa" w:w="80"/>
              <w:left w:type="dxa" w:w="100"/>
              <w:bottom w:type="dxa" w:w="80"/>
              <w:right w:type="dxa" w:w="100"/>
            </w:tcMar>
            <w:vAlign w:val="center"/>
          </w:tcPr>
          <w:p>
            <w:pPr>
              <w:spacing w:after="0"/>
            </w:pPr>
            <w:r>
              <w:rPr>
                <w:b/>
                <w:bCs/>
                <w:color w:val="FFFFFF"/>
                <w:sz w:val="18"/>
                <w:szCs w:val="18"/>
              </w:rPr>
              <w:t xml:space="preserve">Section</w:t>
            </w:r>
          </w:p>
        </w:tc>
        <w:tc>
          <w:tcPr>
            <w:tcW w:type="dxa" w:w="3200"/>
            <w:shd w:fill="1F3864" w:val="clear"/>
            <w:tcMar>
              <w:top w:type="dxa" w:w="80"/>
              <w:left w:type="dxa" w:w="100"/>
              <w:bottom w:type="dxa" w:w="80"/>
              <w:right w:type="dxa" w:w="100"/>
            </w:tcMar>
            <w:vAlign w:val="center"/>
          </w:tcPr>
          <w:p>
            <w:pPr>
              <w:spacing w:after="0"/>
            </w:pPr>
            <w:r>
              <w:rPr>
                <w:b/>
                <w:bCs/>
                <w:color w:val="FFFFFF"/>
                <w:sz w:val="18"/>
                <w:szCs w:val="18"/>
              </w:rPr>
              <w:t xml:space="preserve">Items</w:t>
            </w:r>
          </w:p>
        </w:tc>
        <w:tc>
          <w:tcPr>
            <w:tcW w:type="dxa" w:w="4640"/>
            <w:shd w:fill="1F3864" w:val="clear"/>
            <w:tcMar>
              <w:top w:type="dxa" w:w="80"/>
              <w:left w:type="dxa" w:w="100"/>
              <w:bottom w:type="dxa" w:w="80"/>
              <w:right w:type="dxa" w:w="100"/>
            </w:tcMar>
            <w:vAlign w:val="center"/>
          </w:tcPr>
          <w:p>
            <w:pPr>
              <w:spacing w:after="0"/>
            </w:pPr>
            <w:r>
              <w:rPr>
                <w:b/>
                <w:bCs/>
                <w:color w:val="FFFFFF"/>
                <w:sz w:val="18"/>
                <w:szCs w:val="18"/>
              </w:rPr>
              <w:t xml:space="preserve">Behavior</w:t>
            </w:r>
          </w:p>
        </w:tc>
      </w:tr>
      <w:tr>
        <w:tc>
          <w:tcPr>
            <w:tcW w:type="dxa" w:w="1800"/>
            <w:tcMar>
              <w:top w:type="dxa" w:w="60"/>
              <w:left w:type="dxa" w:w="100"/>
              <w:bottom w:type="dxa" w:w="60"/>
              <w:right w:type="dxa" w:w="100"/>
            </w:tcMar>
            <w:vAlign w:val="center"/>
          </w:tcPr>
          <w:p>
            <w:pPr>
              <w:spacing w:after="0"/>
            </w:pPr>
            <w:r>
              <w:rPr>
                <w:b w:val="false"/>
                <w:bCs w:val="false"/>
                <w:color w:val="000000"/>
                <w:sz w:val="18"/>
                <w:szCs w:val="18"/>
              </w:rPr>
              <w:t xml:space="preserve">CRM</w:t>
            </w:r>
          </w:p>
        </w:tc>
        <w:tc>
          <w:tcPr>
            <w:tcW w:type="dxa" w:w="3200"/>
            <w:tcMar>
              <w:top w:type="dxa" w:w="60"/>
              <w:left w:type="dxa" w:w="100"/>
              <w:bottom w:type="dxa" w:w="60"/>
              <w:right w:type="dxa" w:w="100"/>
            </w:tcMar>
            <w:vAlign w:val="center"/>
          </w:tcPr>
          <w:p>
            <w:pPr>
              <w:spacing w:after="0"/>
            </w:pPr>
            <w:r>
              <w:rPr>
                <w:b w:val="false"/>
                <w:bCs w:val="false"/>
                <w:color w:val="000000"/>
                <w:sz w:val="18"/>
                <w:szCs w:val="18"/>
              </w:rPr>
              <w:t xml:space="preserve">Leads, Contacts, Accounts, Sales Pipeline</w:t>
            </w:r>
          </w:p>
        </w:tc>
        <w:tc>
          <w:tcPr>
            <w:tcW w:type="dxa" w:w="4640"/>
            <w:tcMar>
              <w:top w:type="dxa" w:w="60"/>
              <w:left w:type="dxa" w:w="100"/>
              <w:bottom w:type="dxa" w:w="60"/>
              <w:right w:type="dxa" w:w="100"/>
            </w:tcMar>
            <w:vAlign w:val="center"/>
          </w:tcPr>
          <w:p>
            <w:pPr>
              <w:spacing w:after="0"/>
            </w:pPr>
            <w:r>
              <w:rPr>
                <w:b w:val="false"/>
                <w:bCs w:val="false"/>
                <w:color w:val="000000"/>
                <w:sz w:val="18"/>
                <w:szCs w:val="18"/>
              </w:rPr>
              <w:t xml:space="preserve">Unchanged from the base platform (§1.1 of the UI guide).</w:t>
            </w:r>
          </w:p>
        </w:tc>
      </w:tr>
      <w:tr>
        <w:tc>
          <w:tcPr>
            <w:tcW w:type="dxa" w:w="18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Operations</w:t>
            </w:r>
          </w:p>
        </w:tc>
        <w:tc>
          <w:tcPr>
            <w:tcW w:type="dxa" w:w="32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Bookings, Shipments, Air Waybills, ULD Build-Up, Tracking Board, Customs</w:t>
            </w:r>
          </w:p>
        </w:tc>
        <w:tc>
          <w:tcPr>
            <w:tcW w:type="dxa" w:w="46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Each item opens its own workspace view; badge counts surface items needing attention (e.g. Customs Hold count).</w:t>
            </w:r>
          </w:p>
        </w:tc>
      </w:tr>
      <w:tr>
        <w:tc>
          <w:tcPr>
            <w:tcW w:type="dxa" w:w="1800"/>
            <w:tcMar>
              <w:top w:type="dxa" w:w="60"/>
              <w:left w:type="dxa" w:w="100"/>
              <w:bottom w:type="dxa" w:w="60"/>
              <w:right w:type="dxa" w:w="100"/>
            </w:tcMar>
            <w:vAlign w:val="center"/>
          </w:tcPr>
          <w:p>
            <w:pPr>
              <w:spacing w:after="0"/>
            </w:pPr>
            <w:r>
              <w:rPr>
                <w:b w:val="false"/>
                <w:bCs w:val="false"/>
                <w:color w:val="000000"/>
                <w:sz w:val="18"/>
                <w:szCs w:val="18"/>
              </w:rPr>
              <w:t xml:space="preserve">AI Assistant</w:t>
            </w:r>
          </w:p>
        </w:tc>
        <w:tc>
          <w:tcPr>
            <w:tcW w:type="dxa" w:w="3200"/>
            <w:tcMar>
              <w:top w:type="dxa" w:w="60"/>
              <w:left w:type="dxa" w:w="100"/>
              <w:bottom w:type="dxa" w:w="60"/>
              <w:right w:type="dxa" w:w="100"/>
            </w:tcMar>
            <w:vAlign w:val="center"/>
          </w:tcPr>
          <w:p>
            <w:pPr>
              <w:spacing w:after="0"/>
            </w:pPr>
            <w:r>
              <w:rPr>
                <w:b w:val="false"/>
                <w:bCs w:val="false"/>
                <w:color w:val="000000"/>
                <w:sz w:val="18"/>
                <w:szCs w:val="18"/>
              </w:rPr>
              <w:t xml:space="preserve">Ask a question, Saved reports, Document intake</w:t>
            </w:r>
          </w:p>
        </w:tc>
        <w:tc>
          <w:tcPr>
            <w:tcW w:type="dxa" w:w="4640"/>
            <w:tcMar>
              <w:top w:type="dxa" w:w="60"/>
              <w:left w:type="dxa" w:w="100"/>
              <w:bottom w:type="dxa" w:w="60"/>
              <w:right w:type="dxa" w:w="100"/>
            </w:tcMar>
            <w:vAlign w:val="center"/>
          </w:tcPr>
          <w:p>
            <w:pPr>
              <w:spacing w:after="0"/>
            </w:pPr>
            <w:r>
              <w:rPr>
                <w:b w:val="false"/>
                <w:bCs w:val="false"/>
                <w:color w:val="000000"/>
                <w:sz w:val="18"/>
                <w:szCs w:val="18"/>
              </w:rPr>
              <w:t xml:space="preserve">“Document intake” opens the AI-assisted extraction flow in §4.2 directly, without requiring a natural-language question first.</w:t>
            </w:r>
          </w:p>
        </w:tc>
      </w:tr>
    </w:tbl>
    <w:p>
      <w:pPr>
        <w:spacing w:after="200"/>
      </w:pPr>
    </w:p>
    <w:p>
      <w:pPr>
        <w:pStyle w:val="Heading2"/>
        <w:spacing w:after="150" w:before="300"/>
      </w:pPr>
      <w:r>
        <w:t xml:space="preserve">4.2 AI-Assisted Data Entry: Automated Document Extraction</w:t>
      </w:r>
    </w:p>
    <w:p>
      <w:pPr>
        <w:spacing w:after="160" w:line="276"/>
      </w:pPr>
      <w:r>
        <w:t xml:space="preserve">Booking Requests and Air Waybills are frequently first specified by a shipper-provided commercial invoice, packing list, or DG declaration rather than typed in directly. The extraction flow reuses the same governed, human-in-the-loop pattern the base platform uses for natural-language queries (interpretation → confirmation → commit), applied here to document fields instead of SQL:</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5040"/>
      </w:tblGrid>
      <w:tr>
        <w:trPr>
          <w:tblHeader/>
        </w:trPr>
        <w:tc>
          <w:tcPr>
            <w:tcW w:type="dxa" w:w="1600"/>
            <w:shd w:fill="1F3864" w:val="clear"/>
            <w:tcMar>
              <w:top w:type="dxa" w:w="80"/>
              <w:left w:type="dxa" w:w="100"/>
              <w:bottom w:type="dxa" w:w="80"/>
              <w:right w:type="dxa" w:w="100"/>
            </w:tcMar>
            <w:vAlign w:val="center"/>
          </w:tcPr>
          <w:p>
            <w:pPr>
              <w:spacing w:after="0"/>
            </w:pPr>
            <w:r>
              <w:rPr>
                <w:b/>
                <w:bCs/>
                <w:color w:val="FFFFFF"/>
                <w:sz w:val="18"/>
                <w:szCs w:val="18"/>
              </w:rPr>
              <w:t xml:space="preserve">State</w:t>
            </w:r>
          </w:p>
        </w:tc>
        <w:tc>
          <w:tcPr>
            <w:tcW w:type="dxa" w:w="3000"/>
            <w:shd w:fill="1F3864" w:val="clear"/>
            <w:tcMar>
              <w:top w:type="dxa" w:w="80"/>
              <w:left w:type="dxa" w:w="100"/>
              <w:bottom w:type="dxa" w:w="80"/>
              <w:right w:type="dxa" w:w="100"/>
            </w:tcMar>
            <w:vAlign w:val="center"/>
          </w:tcPr>
          <w:p>
            <w:pPr>
              <w:spacing w:after="0"/>
            </w:pPr>
            <w:r>
              <w:rPr>
                <w:b/>
                <w:bCs/>
                <w:color w:val="FFFFFF"/>
                <w:sz w:val="18"/>
                <w:szCs w:val="18"/>
              </w:rPr>
              <w:t xml:space="preserve">Trigger</w:t>
            </w:r>
          </w:p>
        </w:tc>
        <w:tc>
          <w:tcPr>
            <w:tcW w:type="dxa" w:w="5040"/>
            <w:shd w:fill="1F3864" w:val="clear"/>
            <w:tcMar>
              <w:top w:type="dxa" w:w="80"/>
              <w:left w:type="dxa" w:w="100"/>
              <w:bottom w:type="dxa" w:w="80"/>
              <w:right w:type="dxa" w:w="100"/>
            </w:tcMar>
            <w:vAlign w:val="center"/>
          </w:tcPr>
          <w:p>
            <w:pPr>
              <w:spacing w:after="0"/>
            </w:pPr>
            <w:r>
              <w:rPr>
                <w:b/>
                <w:bCs/>
                <w:color w:val="FFFFFF"/>
                <w:sz w:val="18"/>
                <w:szCs w:val="18"/>
              </w:rPr>
              <w:t xml:space="preserve">System behavior</w:t>
            </w:r>
          </w:p>
        </w:tc>
      </w:tr>
      <w:tr>
        <w:tc>
          <w:tcPr>
            <w:tcW w:type="dxa" w:w="1600"/>
            <w:tcMar>
              <w:top w:type="dxa" w:w="60"/>
              <w:left w:type="dxa" w:w="100"/>
              <w:bottom w:type="dxa" w:w="60"/>
              <w:right w:type="dxa" w:w="100"/>
            </w:tcMar>
            <w:vAlign w:val="center"/>
          </w:tcPr>
          <w:p>
            <w:pPr>
              <w:spacing w:after="0"/>
            </w:pPr>
            <w:r>
              <w:rPr>
                <w:b w:val="false"/>
                <w:bCs w:val="false"/>
                <w:color w:val="000000"/>
                <w:sz w:val="18"/>
                <w:szCs w:val="18"/>
              </w:rPr>
              <w:t xml:space="preserve">Uploaded</w:t>
            </w:r>
          </w:p>
        </w:tc>
        <w:tc>
          <w:tcPr>
            <w:tcW w:type="dxa" w:w="3000"/>
            <w:tcMar>
              <w:top w:type="dxa" w:w="60"/>
              <w:left w:type="dxa" w:w="100"/>
              <w:bottom w:type="dxa" w:w="60"/>
              <w:right w:type="dxa" w:w="100"/>
            </w:tcMar>
            <w:vAlign w:val="center"/>
          </w:tcPr>
          <w:p>
            <w:pPr>
              <w:spacing w:after="0"/>
            </w:pPr>
            <w:r>
              <w:rPr>
                <w:b w:val="false"/>
                <w:bCs w:val="false"/>
                <w:color w:val="000000"/>
                <w:sz w:val="18"/>
                <w:szCs w:val="18"/>
              </w:rPr>
              <w:t xml:space="preserve">User drags a PDF/image (invoice, packing list, DG declaration) onto the AWB or Booking Request form.</w:t>
            </w:r>
          </w:p>
        </w:tc>
        <w:tc>
          <w:tcPr>
            <w:tcW w:type="dxa" w:w="5040"/>
            <w:tcMar>
              <w:top w:type="dxa" w:w="60"/>
              <w:left w:type="dxa" w:w="100"/>
              <w:bottom w:type="dxa" w:w="60"/>
              <w:right w:type="dxa" w:w="100"/>
            </w:tcMar>
            <w:vAlign w:val="center"/>
          </w:tcPr>
          <w:p>
            <w:pPr>
              <w:spacing w:after="0"/>
            </w:pPr>
            <w:r>
              <w:rPr>
                <w:b w:val="false"/>
                <w:bCs w:val="false"/>
                <w:color w:val="000000"/>
                <w:sz w:val="18"/>
                <w:szCs w:val="18"/>
              </w:rPr>
              <w:t xml:space="preserve">Document is stored and queued for extraction; the form remains editable and unblocked.</w:t>
            </w:r>
          </w:p>
        </w:tc>
      </w:tr>
      <w:tr>
        <w:tc>
          <w:tcPr>
            <w:tcW w:type="dxa" w:w="16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Extracted (Proposed)</w:t>
            </w:r>
          </w:p>
        </w:tc>
        <w:tc>
          <w:tcPr>
            <w:tcW w:type="dxa" w:w="30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AI extraction model returns structured field values with a per-field confidence score.</w:t>
            </w:r>
          </w:p>
        </w:tc>
        <w:tc>
          <w:tcPr>
            <w:tcW w:type="dxa" w:w="50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Every extracted field is pre-filled but visually flagged (e.g. amber underline) until reviewed — low-confidence fields (weight, HS codes, declared value) are flagged more prominently than high-confidence ones (airport codes, dates).</w:t>
            </w:r>
          </w:p>
        </w:tc>
      </w:tr>
      <w:tr>
        <w:tc>
          <w:tcPr>
            <w:tcW w:type="dxa" w:w="1600"/>
            <w:tcMar>
              <w:top w:type="dxa" w:w="60"/>
              <w:left w:type="dxa" w:w="100"/>
              <w:bottom w:type="dxa" w:w="60"/>
              <w:right w:type="dxa" w:w="100"/>
            </w:tcMar>
            <w:vAlign w:val="center"/>
          </w:tcPr>
          <w:p>
            <w:pPr>
              <w:spacing w:after="0"/>
            </w:pPr>
            <w:r>
              <w:rPr>
                <w:b w:val="false"/>
                <w:bCs w:val="false"/>
                <w:color w:val="000000"/>
                <w:sz w:val="18"/>
                <w:szCs w:val="18"/>
              </w:rPr>
              <w:t xml:space="preserve">Accepted</w:t>
            </w:r>
          </w:p>
        </w:tc>
        <w:tc>
          <w:tcPr>
            <w:tcW w:type="dxa" w:w="3000"/>
            <w:tcMar>
              <w:top w:type="dxa" w:w="60"/>
              <w:left w:type="dxa" w:w="100"/>
              <w:bottom w:type="dxa" w:w="60"/>
              <w:right w:type="dxa" w:w="100"/>
            </w:tcMar>
            <w:vAlign w:val="center"/>
          </w:tcPr>
          <w:p>
            <w:pPr>
              <w:spacing w:after="0"/>
            </w:pPr>
            <w:r>
              <w:rPr>
                <w:b w:val="false"/>
                <w:bCs w:val="false"/>
                <w:color w:val="000000"/>
                <w:sz w:val="18"/>
                <w:szCs w:val="18"/>
              </w:rPr>
              <w:t xml:space="preserve">User reviews and clicks “Accept fields” (bulk) or edits individual values before saving.</w:t>
            </w:r>
          </w:p>
        </w:tc>
        <w:tc>
          <w:tcPr>
            <w:tcW w:type="dxa" w:w="5040"/>
            <w:tcMar>
              <w:top w:type="dxa" w:w="60"/>
              <w:left w:type="dxa" w:w="100"/>
              <w:bottom w:type="dxa" w:w="60"/>
              <w:right w:type="dxa" w:w="100"/>
            </w:tcMar>
            <w:vAlign w:val="center"/>
          </w:tcPr>
          <w:p>
            <w:pPr>
              <w:spacing w:after="0"/>
            </w:pPr>
            <w:r>
              <w:rPr>
                <w:b w:val="false"/>
                <w:bCs w:val="false"/>
                <w:color w:val="000000"/>
                <w:sz w:val="18"/>
                <w:szCs w:val="18"/>
              </w:rPr>
              <w:t xml:space="preserve">Accepted values are written to the AWB/Booking Request row; the source document and every original extracted value are retained for audit, even where the user overrode them.</w:t>
            </w:r>
          </w:p>
        </w:tc>
      </w:tr>
      <w:tr>
        <w:tc>
          <w:tcPr>
            <w:tcW w:type="dxa" w:w="16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Escalated</w:t>
            </w:r>
          </w:p>
        </w:tc>
        <w:tc>
          <w:tcPr>
            <w:tcW w:type="dxa" w:w="30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Confidence on a required field (e.g. declared value for customs, DG UN number) falls below threshold.</w:t>
            </w:r>
          </w:p>
        </w:tc>
        <w:tc>
          <w:tcPr>
            <w:tcW w:type="dxa" w:w="50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That field is left blank rather than guessed, and the form blocks save on it specifically — mirroring the base platform’s rule that the AI layer must ask rather than guess (§3.2 of the technical specification).</w:t>
            </w:r>
          </w:p>
        </w:tc>
      </w:tr>
    </w:tbl>
    <w:p>
      <w:pPr>
        <w:spacing w:after="200"/>
      </w:pPr>
    </w:p>
    <w:p>
      <w:pPr>
        <w:spacing w:after="160" w:line="276"/>
      </w:pPr>
      <w:r>
        <w:t xml:space="preserve">Extraction never writes directly to the Air Waybill or Booking Request table — it only ever populates the pending form state a human then accepts, keeping the same separation between AI proposal and governed persistence used throughout the platform.</w:t>
      </w:r>
    </w:p>
    <w:p>
      <w:pPr>
        <w:pStyle w:val="Heading2"/>
        <w:spacing w:after="150" w:before="300"/>
      </w:pPr>
      <w:r>
        <w:t xml:space="preserve">4.3 Dynamic Tracking Visualizations</w:t>
      </w:r>
    </w:p>
    <w:p>
      <w:pPr>
        <w:pStyle w:val="ListParagraph"/>
        <w:numPr>
          <w:ilvl w:val="0"/>
          <w:numId w:val="1"/>
        </w:numPr>
        <w:spacing w:after="90" w:line="264"/>
      </w:pPr>
      <w:r>
        <w:t xml:space="preserve">Shipment map view — origin/destination airports plotted on a route map with the current position (last DEP/ARR event) highlighted; used on the Shipment detail panel and embeddable in the AI panel’s result card for “where is this shipment” questions.</w:t>
      </w:r>
    </w:p>
    <w:p>
      <w:pPr>
        <w:pStyle w:val="ListParagraph"/>
        <w:numPr>
          <w:ilvl w:val="0"/>
          <w:numId w:val="1"/>
        </w:numPr>
        <w:spacing w:after="90" w:line="264"/>
      </w:pPr>
      <w:r>
        <w:t xml:space="preserve">Milestone timeline — a horizontal strip of FSU codes (RCS → DEP → ARR → RCF → NFD → CCD → DLV) with completed steps solid and the current step animated; hovering a step shows event_timestamp, location, and source.</w:t>
      </w:r>
    </w:p>
    <w:p>
      <w:pPr>
        <w:pStyle w:val="ListParagraph"/>
        <w:numPr>
          <w:ilvl w:val="0"/>
          <w:numId w:val="1"/>
        </w:numPr>
        <w:spacing w:after="90" w:line="264"/>
      </w:pPr>
      <w:r>
        <w:t xml:space="preserve">Multi-leg / split-shipment rendering — where manifest_line_items shows an AWB spread across more than one flight leg or ULD allocations show a split across containers, the timeline branches to show each piece group’s progress independently rather than collapsing to a single misleading status.</w:t>
      </w:r>
    </w:p>
    <w:p>
      <w:pPr>
        <w:pStyle w:val="ListParagraph"/>
        <w:numPr>
          <w:ilvl w:val="0"/>
          <w:numId w:val="1"/>
        </w:numPr>
        <w:spacing w:after="90" w:line="264"/>
      </w:pPr>
      <w:r>
        <w:t xml:space="preserve">Live updates — the timeline and map subscribe to the same tracking-event stream the backend ingests from FSU messages (§6.2); a new event updates the UI via websocket/polling without a page reload, consistent with the base platform’s event-driven UI pattern.</w:t>
      </w:r>
    </w:p>
    <w:p>
      <w:pPr>
        <w:pStyle w:val="Heading2"/>
        <w:spacing w:after="150" w:before="300"/>
      </w:pPr>
      <w:r>
        <w:t xml:space="preserve">4.4 Exception Management UI Patterns</w:t>
      </w:r>
    </w:p>
    <w:p>
      <w:pPr>
        <w:spacing w:after="160" w:line="276"/>
      </w:pPr>
      <w:r>
        <w:t xml:space="preserve">Air freight exceptions — customs holds, manifest discrepancies, DG mishandling, missed connections — are surfaced as a first-class Exception Queue rather than buried inside individual shipment records:</w:t>
      </w:r>
    </w:p>
    <w:p>
      <w:pPr>
        <w:pStyle w:val="ListParagraph"/>
        <w:numPr>
          <w:ilvl w:val="0"/>
          <w:numId w:val="1"/>
        </w:numPr>
        <w:spacing w:after="90" w:line="264"/>
      </w:pPr>
      <w:r>
        <w:t xml:space="preserve">Exception Queue — a filterable list of every Shipment/AWB currently in status = Customs Hold or Exception, or with an AWR/MAN tracking event, sorted by SLA urgency (time since the triggering event) rather than creation date.</w:t>
      </w:r>
    </w:p>
    <w:p>
      <w:pPr>
        <w:pStyle w:val="ListParagraph"/>
        <w:numPr>
          <w:ilvl w:val="0"/>
          <w:numId w:val="1"/>
        </w:numPr>
        <w:spacing w:after="90" w:line="264"/>
      </w:pPr>
      <w:r>
        <w:t xml:space="preserve">SLA countdown — each exception row shows a live countdown against the relevant SLA (e.g. hours since a customs hold began), color-shifting from neutral to amber to red as it approaches breach, so operations staff can triage without opening every record.</w:t>
      </w:r>
    </w:p>
    <w:p>
      <w:pPr>
        <w:pStyle w:val="ListParagraph"/>
        <w:numPr>
          <w:ilvl w:val="0"/>
          <w:numId w:val="1"/>
        </w:numPr>
        <w:spacing w:after="90" w:line="264"/>
      </w:pPr>
      <w:r>
        <w:t xml:space="preserve">ULD build-up board — a drag-and-drop Kanban-style board (per ULD, per flight manifest) where warehouse staff assign AWB piece groups into ULDs; drops write directly to uld_allocations and update ULD.status, with weight/volume limits enforced client-side against tare/max_gross_weight before the drop is accepted.</w:t>
      </w:r>
    </w:p>
    <w:p>
      <w:pPr>
        <w:pStyle w:val="ListParagraph"/>
        <w:numPr>
          <w:ilvl w:val="0"/>
          <w:numId w:val="1"/>
        </w:numPr>
        <w:spacing w:after="90" w:line="264"/>
      </w:pPr>
      <w:r>
        <w:t xml:space="preserve">Irregularity report (CIR) workflow — raising a Cargo Irregularity Report from an exception pre-fills shipment, AWB, and event context, routes it to the responsible station, and links the resulting record back onto the Shipment’s timeline as a visible flag — never a silent status change.</w:t>
      </w:r>
    </w:p>
    <w:p>
      <w:pPr>
        <w:pStyle w:val="ListParagraph"/>
        <w:numPr>
          <w:ilvl w:val="0"/>
          <w:numId w:val="1"/>
        </w:numPr>
        <w:spacing w:after="90" w:line="264"/>
      </w:pPr>
      <w:r>
        <w:t xml:space="preserve">Customs hold detail — the Customs Clearance record’s hold_reason is shown directly on the Shipment detail panel with a “notify broker” action, rather than requiring navigation into a separate Customs module to understand why a shipment is stuck.</w:t>
      </w:r>
    </w:p>
    <w:p>
      <w:r>
        <w:br w:type="page"/>
      </w:r>
    </w:p>
    <w:p>
      <w:pPr>
        <w:pStyle w:val="Heading1"/>
        <w:spacing w:after="200" w:before="400"/>
      </w:pPr>
      <w:r>
        <w:t xml:space="preserve">5. System Architecture &amp; Integration Logic</w:t>
      </w:r>
    </w:p>
    <w:p>
      <w:pPr>
        <w:spacing w:after="160" w:line="276"/>
      </w:pPr>
      <w:r>
        <w:t xml:space="preserve">The logistics service ingests industry-standard air cargo messaging — Cargo-IMP (Type B / EDIFACT-style) and Cargo-XML, including ONE Record REST resources where partners support it — normalizes it into the canonical event schema below, and bridges it to the CRM domain over the same shared event bus described in the base platform specification (§5.2 of the technical specification).</w:t>
      </w:r>
    </w:p>
    <w:p>
      <w:pPr>
        <w:pStyle w:val="Heading2"/>
        <w:spacing w:after="150" w:before="300"/>
      </w:pPr>
      <w:r>
        <w:t xml:space="preserve">5.1 Cargo-IMP / Cargo-XML Ingestion Layer</w:t>
      </w:r>
    </w:p>
    <w:p>
      <w:pPr>
        <w:spacing w:after="160" w:line="276"/>
      </w:pPr>
      <w:r>
        <w:t xml:space="preserve">Inbound messages, whichever wire format they arrive in, are normalized to the same internal event before touching the schema in §3:</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5240"/>
      </w:tblGrid>
      <w:tr>
        <w:trPr>
          <w:tblHeader/>
        </w:trPr>
        <w:tc>
          <w:tcPr>
            <w:tcW w:type="dxa" w:w="1800"/>
            <w:shd w:fill="1F3864" w:val="clear"/>
            <w:tcMar>
              <w:top w:type="dxa" w:w="80"/>
              <w:left w:type="dxa" w:w="100"/>
              <w:bottom w:type="dxa" w:w="80"/>
              <w:right w:type="dxa" w:w="100"/>
            </w:tcMar>
            <w:vAlign w:val="center"/>
          </w:tcPr>
          <w:p>
            <w:pPr>
              <w:spacing w:after="0"/>
            </w:pPr>
            <w:r>
              <w:rPr>
                <w:b/>
                <w:bCs/>
                <w:color w:val="FFFFFF"/>
                <w:sz w:val="18"/>
                <w:szCs w:val="18"/>
              </w:rPr>
              <w:t xml:space="preserve">Message type</w:t>
            </w:r>
          </w:p>
        </w:tc>
        <w:tc>
          <w:tcPr>
            <w:tcW w:type="dxa" w:w="2600"/>
            <w:shd w:fill="1F3864" w:val="clear"/>
            <w:tcMar>
              <w:top w:type="dxa" w:w="80"/>
              <w:left w:type="dxa" w:w="100"/>
              <w:bottom w:type="dxa" w:w="80"/>
              <w:right w:type="dxa" w:w="100"/>
            </w:tcMar>
            <w:vAlign w:val="center"/>
          </w:tcPr>
          <w:p>
            <w:pPr>
              <w:spacing w:after="0"/>
            </w:pPr>
            <w:r>
              <w:rPr>
                <w:b/>
                <w:bCs/>
                <w:color w:val="FFFFFF"/>
                <w:sz w:val="18"/>
                <w:szCs w:val="18"/>
              </w:rPr>
              <w:t xml:space="preserve">Format(s)</w:t>
            </w:r>
          </w:p>
        </w:tc>
        <w:tc>
          <w:tcPr>
            <w:tcW w:type="dxa" w:w="5240"/>
            <w:shd w:fill="1F3864" w:val="clear"/>
            <w:tcMar>
              <w:top w:type="dxa" w:w="80"/>
              <w:left w:type="dxa" w:w="100"/>
              <w:bottom w:type="dxa" w:w="80"/>
              <w:right w:type="dxa" w:w="100"/>
            </w:tcMar>
            <w:vAlign w:val="center"/>
          </w:tcPr>
          <w:p>
            <w:pPr>
              <w:spacing w:after="0"/>
            </w:pPr>
            <w:r>
              <w:rPr>
                <w:b/>
                <w:bCs/>
                <w:color w:val="FFFFFF"/>
                <w:sz w:val="18"/>
                <w:szCs w:val="18"/>
              </w:rPr>
              <w:t xml:space="preserve">Maps to</w:t>
            </w:r>
          </w:p>
        </w:tc>
      </w:tr>
      <w:tr>
        <w:tc>
          <w:tcPr>
            <w:tcW w:type="dxa" w:w="1800"/>
            <w:tcMar>
              <w:top w:type="dxa" w:w="60"/>
              <w:left w:type="dxa" w:w="100"/>
              <w:bottom w:type="dxa" w:w="60"/>
              <w:right w:type="dxa" w:w="100"/>
            </w:tcMar>
            <w:vAlign w:val="center"/>
          </w:tcPr>
          <w:p>
            <w:pPr>
              <w:spacing w:after="0"/>
            </w:pPr>
            <w:r>
              <w:rPr>
                <w:b w:val="false"/>
                <w:bCs w:val="false"/>
                <w:color w:val="000000"/>
                <w:sz w:val="18"/>
                <w:szCs w:val="18"/>
              </w:rPr>
              <w:t xml:space="preserve">FWB (Freight Waybill)</w:t>
            </w:r>
          </w:p>
        </w:tc>
        <w:tc>
          <w:tcPr>
            <w:tcW w:type="dxa" w:w="2600"/>
            <w:tcMar>
              <w:top w:type="dxa" w:w="60"/>
              <w:left w:type="dxa" w:w="100"/>
              <w:bottom w:type="dxa" w:w="60"/>
              <w:right w:type="dxa" w:w="100"/>
            </w:tcMar>
            <w:vAlign w:val="center"/>
          </w:tcPr>
          <w:p>
            <w:pPr>
              <w:spacing w:after="0"/>
            </w:pPr>
            <w:r>
              <w:rPr>
                <w:b w:val="false"/>
                <w:bCs w:val="false"/>
                <w:color w:val="000000"/>
                <w:sz w:val="18"/>
                <w:szCs w:val="18"/>
              </w:rPr>
              <w:t xml:space="preserve">Cargo-IMP / Cargo-XML</w:t>
            </w:r>
          </w:p>
        </w:tc>
        <w:tc>
          <w:tcPr>
            <w:tcW w:type="dxa" w:w="5240"/>
            <w:tcMar>
              <w:top w:type="dxa" w:w="60"/>
              <w:left w:type="dxa" w:w="100"/>
              <w:bottom w:type="dxa" w:w="60"/>
              <w:right w:type="dxa" w:w="100"/>
            </w:tcMar>
            <w:vAlign w:val="center"/>
          </w:tcPr>
          <w:p>
            <w:pPr>
              <w:spacing w:after="0"/>
            </w:pPr>
            <w:r>
              <w:rPr>
                <w:b w:val="false"/>
                <w:bCs w:val="false"/>
                <w:color w:val="000000"/>
                <w:sz w:val="18"/>
                <w:szCs w:val="18"/>
              </w:rPr>
              <w:t xml:space="preserve">Creates or updates a logi.air_waybills row; sets fwb_status = Transmitted, then Acknowledged on the carrier’s FMA/FNA response.</w:t>
            </w:r>
          </w:p>
        </w:tc>
      </w:tr>
      <w:tr>
        <w:tc>
          <w:tcPr>
            <w:tcW w:type="dxa" w:w="18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FHL (House Waybill / Manifest)</w:t>
            </w:r>
          </w:p>
        </w:tc>
        <w:tc>
          <w:tcPr>
            <w:tcW w:type="dxa" w:w="26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Cargo-IMP / Cargo-XML</w:t>
            </w:r>
          </w:p>
        </w:tc>
        <w:tc>
          <w:tcPr>
            <w:tcW w:type="dxa" w:w="52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Creates House AWB rows linked via parent_mawb_id to the Master.</w:t>
            </w:r>
          </w:p>
        </w:tc>
      </w:tr>
      <w:tr>
        <w:tc>
          <w:tcPr>
            <w:tcW w:type="dxa" w:w="1800"/>
            <w:tcMar>
              <w:top w:type="dxa" w:w="60"/>
              <w:left w:type="dxa" w:w="100"/>
              <w:bottom w:type="dxa" w:w="60"/>
              <w:right w:type="dxa" w:w="100"/>
            </w:tcMar>
            <w:vAlign w:val="center"/>
          </w:tcPr>
          <w:p>
            <w:pPr>
              <w:spacing w:after="0"/>
            </w:pPr>
            <w:r>
              <w:rPr>
                <w:b w:val="false"/>
                <w:bCs w:val="false"/>
                <w:color w:val="000000"/>
                <w:sz w:val="18"/>
                <w:szCs w:val="18"/>
              </w:rPr>
              <w:t xml:space="preserve">FFM (Freight Manifest)</w:t>
            </w:r>
          </w:p>
        </w:tc>
        <w:tc>
          <w:tcPr>
            <w:tcW w:type="dxa" w:w="2600"/>
            <w:tcMar>
              <w:top w:type="dxa" w:w="60"/>
              <w:left w:type="dxa" w:w="100"/>
              <w:bottom w:type="dxa" w:w="60"/>
              <w:right w:type="dxa" w:w="100"/>
            </w:tcMar>
            <w:vAlign w:val="center"/>
          </w:tcPr>
          <w:p>
            <w:pPr>
              <w:spacing w:after="0"/>
            </w:pPr>
            <w:r>
              <w:rPr>
                <w:b w:val="false"/>
                <w:bCs w:val="false"/>
                <w:color w:val="000000"/>
                <w:sz w:val="18"/>
                <w:szCs w:val="18"/>
              </w:rPr>
              <w:t xml:space="preserve">Cargo-IMP / Cargo-XML</w:t>
            </w:r>
          </w:p>
        </w:tc>
        <w:tc>
          <w:tcPr>
            <w:tcW w:type="dxa" w:w="5240"/>
            <w:tcMar>
              <w:top w:type="dxa" w:w="60"/>
              <w:left w:type="dxa" w:w="100"/>
              <w:bottom w:type="dxa" w:w="60"/>
              <w:right w:type="dxa" w:w="100"/>
            </w:tcMar>
            <w:vAlign w:val="center"/>
          </w:tcPr>
          <w:p>
            <w:pPr>
              <w:spacing w:after="0"/>
            </w:pPr>
            <w:r>
              <w:rPr>
                <w:b w:val="false"/>
                <w:bCs w:val="false"/>
                <w:color w:val="000000"/>
                <w:sz w:val="18"/>
                <w:szCs w:val="18"/>
              </w:rPr>
              <w:t xml:space="preserve">Creates/updates logi.flight_manifests and its manifest_line_items.</w:t>
            </w:r>
          </w:p>
        </w:tc>
      </w:tr>
      <w:tr>
        <w:tc>
          <w:tcPr>
            <w:tcW w:type="dxa" w:w="18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FNM / FMS (Flight Movement / Schedule)</w:t>
            </w:r>
          </w:p>
        </w:tc>
        <w:tc>
          <w:tcPr>
            <w:tcW w:type="dxa" w:w="26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Cargo-IMP / Cargo-XML</w:t>
            </w:r>
          </w:p>
        </w:tc>
        <w:tc>
          <w:tcPr>
            <w:tcW w:type="dxa" w:w="52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Updates flight-level fields on the manifest (actual_departure_at, actual_arrival_at) independent of any single AWB.</w:t>
            </w:r>
          </w:p>
        </w:tc>
      </w:tr>
      <w:tr>
        <w:tc>
          <w:tcPr>
            <w:tcW w:type="dxa" w:w="1800"/>
            <w:tcMar>
              <w:top w:type="dxa" w:w="60"/>
              <w:left w:type="dxa" w:w="100"/>
              <w:bottom w:type="dxa" w:w="60"/>
              <w:right w:type="dxa" w:w="100"/>
            </w:tcMar>
            <w:vAlign w:val="center"/>
          </w:tcPr>
          <w:p>
            <w:pPr>
              <w:spacing w:after="0"/>
            </w:pPr>
            <w:r>
              <w:rPr>
                <w:b w:val="false"/>
                <w:bCs w:val="false"/>
                <w:color w:val="000000"/>
                <w:sz w:val="18"/>
                <w:szCs w:val="18"/>
              </w:rPr>
              <w:t xml:space="preserve">FSU (Freight Status Update)</w:t>
            </w:r>
          </w:p>
        </w:tc>
        <w:tc>
          <w:tcPr>
            <w:tcW w:type="dxa" w:w="2600"/>
            <w:tcMar>
              <w:top w:type="dxa" w:w="60"/>
              <w:left w:type="dxa" w:w="100"/>
              <w:bottom w:type="dxa" w:w="60"/>
              <w:right w:type="dxa" w:w="100"/>
            </w:tcMar>
            <w:vAlign w:val="center"/>
          </w:tcPr>
          <w:p>
            <w:pPr>
              <w:spacing w:after="0"/>
            </w:pPr>
            <w:r>
              <w:rPr>
                <w:b w:val="false"/>
                <w:bCs w:val="false"/>
                <w:color w:val="000000"/>
                <w:sz w:val="18"/>
                <w:szCs w:val="18"/>
              </w:rPr>
              <w:t xml:space="preserve">Cargo-IMP / Cargo-XML</w:t>
            </w:r>
          </w:p>
        </w:tc>
        <w:tc>
          <w:tcPr>
            <w:tcW w:type="dxa" w:w="5240"/>
            <w:tcMar>
              <w:top w:type="dxa" w:w="60"/>
              <w:left w:type="dxa" w:w="100"/>
              <w:bottom w:type="dxa" w:w="60"/>
              <w:right w:type="dxa" w:w="100"/>
            </w:tcMar>
            <w:vAlign w:val="center"/>
          </w:tcPr>
          <w:p>
            <w:pPr>
              <w:spacing w:after="0"/>
            </w:pPr>
            <w:r>
              <w:rPr>
                <w:b w:val="false"/>
                <w:bCs w:val="false"/>
                <w:color w:val="000000"/>
                <w:sz w:val="18"/>
                <w:szCs w:val="18"/>
              </w:rPr>
              <w:t xml:space="preserve">Appends a logi.tracking_events row per §3.6; never updates or deletes a prior event — the milestone log is append-only.</w:t>
            </w:r>
          </w:p>
        </w:tc>
      </w:tr>
      <w:tr>
        <w:tc>
          <w:tcPr>
            <w:tcW w:type="dxa" w:w="18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ONE Record events (LogisticsObjectEvent)</w:t>
            </w:r>
          </w:p>
        </w:tc>
        <w:tc>
          <w:tcPr>
            <w:tcW w:type="dxa" w:w="26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REST / JSON-LD</w:t>
            </w:r>
          </w:p>
        </w:tc>
        <w:tc>
          <w:tcPr>
            <w:tcW w:type="dxa" w:w="52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Same target tables as the Cargo-XML equivalents above; the ingestion layer treats ONE Record as an alternate transport for the same canonical events, not a separate data model.</w:t>
            </w:r>
          </w:p>
        </w:tc>
      </w:tr>
    </w:tbl>
    <w:p>
      <w:pPr>
        <w:spacing w:after="200"/>
      </w:pPr>
    </w:p>
    <w:p>
      <w:pPr>
        <w:spacing w:after="160" w:line="276"/>
      </w:pPr>
      <w:r>
        <w:t xml:space="preserve">Messages land in a staging schema first, are validated against IATA message-structure rules and referential integrity against existing Shipment/AWB rows, and are only then applied to the operational schema — mirroring the staged-ingestion pattern used for legacy source onboarding in the base platform (§5.1 of the technical specification). Every applied message retains a pointer from its resulting row(s) back to the raw payload (raw_message_ref on tracking events; equivalent references on AWB/manifest updates) for full message-to-record traceability.</w:t>
      </w:r>
    </w:p>
    <w:p>
      <w:pPr>
        <w:pStyle w:val="Heading2"/>
        <w:spacing w:after="150" w:before="300"/>
      </w:pPr>
      <w:r>
        <w:t xml:space="preserve">5.2 Event-Driven Integration Flows</w:t>
      </w:r>
    </w:p>
    <w:p>
      <w:pPr>
        <w:spacing w:after="160" w:line="276"/>
      </w:pPr>
      <w:r>
        <w:t xml:space="preserve">The logistics service and the CRM service remain independently deployable, staying in sync through domain events on the shared bus rather than direct database writes across the boundary — the same pattern used for DealWon → Project in the base platform:</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40"/>
      </w:tblGrid>
      <w:tr>
        <w:trPr>
          <w:tblHeader/>
        </w:trPr>
        <w:tc>
          <w:tcPr>
            <w:tcW w:type="dxa" w:w="2400"/>
            <w:shd w:fill="1F3864" w:val="clear"/>
            <w:tcMar>
              <w:top w:type="dxa" w:w="80"/>
              <w:left w:type="dxa" w:w="100"/>
              <w:bottom w:type="dxa" w:w="80"/>
              <w:right w:type="dxa" w:w="100"/>
            </w:tcMar>
            <w:vAlign w:val="center"/>
          </w:tcPr>
          <w:p>
            <w:pPr>
              <w:spacing w:after="0"/>
            </w:pPr>
            <w:r>
              <w:rPr>
                <w:b/>
                <w:bCs/>
                <w:color w:val="FFFFFF"/>
                <w:sz w:val="18"/>
                <w:szCs w:val="18"/>
              </w:rPr>
              <w:t xml:space="preserve">Event</w:t>
            </w:r>
          </w:p>
        </w:tc>
        <w:tc>
          <w:tcPr>
            <w:tcW w:type="dxa" w:w="2400"/>
            <w:shd w:fill="1F3864" w:val="clear"/>
            <w:tcMar>
              <w:top w:type="dxa" w:w="80"/>
              <w:left w:type="dxa" w:w="100"/>
              <w:bottom w:type="dxa" w:w="80"/>
              <w:right w:type="dxa" w:w="100"/>
            </w:tcMar>
            <w:vAlign w:val="center"/>
          </w:tcPr>
          <w:p>
            <w:pPr>
              <w:spacing w:after="0"/>
            </w:pPr>
            <w:r>
              <w:rPr>
                <w:b/>
                <w:bCs/>
                <w:color w:val="FFFFFF"/>
                <w:sz w:val="18"/>
                <w:szCs w:val="18"/>
              </w:rPr>
              <w:t xml:space="preserve">Published by</w:t>
            </w:r>
          </w:p>
        </w:tc>
        <w:tc>
          <w:tcPr>
            <w:tcW w:type="dxa" w:w="4840"/>
            <w:shd w:fill="1F3864" w:val="clear"/>
            <w:tcMar>
              <w:top w:type="dxa" w:w="80"/>
              <w:left w:type="dxa" w:w="100"/>
              <w:bottom w:type="dxa" w:w="80"/>
              <w:right w:type="dxa" w:w="100"/>
            </w:tcMar>
            <w:vAlign w:val="center"/>
          </w:tcPr>
          <w:p>
            <w:pPr>
              <w:spacing w:after="0"/>
            </w:pPr>
            <w:r>
              <w:rPr>
                <w:b/>
                <w:bCs/>
                <w:color w:val="FFFFFF"/>
                <w:sz w:val="18"/>
                <w:szCs w:val="18"/>
              </w:rPr>
              <w:t xml:space="preserve">Consumed by → effect</w:t>
            </w:r>
          </w:p>
        </w:tc>
      </w:tr>
      <w:tr>
        <w:tc>
          <w:tcPr>
            <w:tcW w:type="dxa" w:w="2400"/>
            <w:tcMar>
              <w:top w:type="dxa" w:w="60"/>
              <w:left w:type="dxa" w:w="100"/>
              <w:bottom w:type="dxa" w:w="60"/>
              <w:right w:type="dxa" w:w="100"/>
            </w:tcMar>
            <w:vAlign w:val="center"/>
          </w:tcPr>
          <w:p>
            <w:pPr>
              <w:spacing w:after="0"/>
            </w:pPr>
            <w:r>
              <w:rPr>
                <w:b w:val="false"/>
                <w:bCs w:val="false"/>
                <w:color w:val="000000"/>
                <w:sz w:val="18"/>
                <w:szCs w:val="18"/>
              </w:rPr>
              <w:t xml:space="preserve">DealWon</w:t>
            </w:r>
          </w:p>
        </w:tc>
        <w:tc>
          <w:tcPr>
            <w:tcW w:type="dxa" w:w="2400"/>
            <w:tcMar>
              <w:top w:type="dxa" w:w="60"/>
              <w:left w:type="dxa" w:w="100"/>
              <w:bottom w:type="dxa" w:w="60"/>
              <w:right w:type="dxa" w:w="100"/>
            </w:tcMar>
            <w:vAlign w:val="center"/>
          </w:tcPr>
          <w:p>
            <w:pPr>
              <w:spacing w:after="0"/>
            </w:pPr>
            <w:r>
              <w:rPr>
                <w:b w:val="false"/>
                <w:bCs w:val="false"/>
                <w:color w:val="000000"/>
                <w:sz w:val="18"/>
                <w:szCs w:val="18"/>
              </w:rPr>
              <w:t xml:space="preserve">CRM service, on Opportunity.stage = Won</w:t>
            </w:r>
          </w:p>
        </w:tc>
        <w:tc>
          <w:tcPr>
            <w:tcW w:type="dxa" w:w="4840"/>
            <w:tcMar>
              <w:top w:type="dxa" w:w="60"/>
              <w:left w:type="dxa" w:w="100"/>
              <w:bottom w:type="dxa" w:w="60"/>
              <w:right w:type="dxa" w:w="100"/>
            </w:tcMar>
            <w:vAlign w:val="center"/>
          </w:tcPr>
          <w:p>
            <w:pPr>
              <w:spacing w:after="0"/>
            </w:pPr>
            <w:r>
              <w:rPr>
                <w:b w:val="false"/>
                <w:bCs w:val="false"/>
                <w:color w:val="000000"/>
                <w:sz w:val="18"/>
                <w:szCs w:val="18"/>
              </w:rPr>
              <w:t xml:space="preserve">Logistics service → creates an initial Shipment, copying account, trade lane, cargo_type, and incoterm from the Opportunity’s freight extension fields (§2.2).</w:t>
            </w:r>
          </w:p>
        </w:tc>
      </w:tr>
      <w:tr>
        <w:tc>
          <w:tcPr>
            <w:tcW w:type="dxa" w:w="24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BookingConfirmed</w:t>
            </w:r>
          </w:p>
        </w:tc>
        <w:tc>
          <w:tcPr>
            <w:tcW w:type="dxa" w:w="24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Logistics service, on Booking Request status = Space Confirmed</w:t>
            </w:r>
          </w:p>
        </w:tc>
        <w:tc>
          <w:tcPr>
            <w:tcW w:type="dxa" w:w="48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Notification service → alerts the shipment owner; UI → updates the Shipment’s status to Ready for Carriage.</w:t>
            </w:r>
          </w:p>
        </w:tc>
      </w:tr>
      <w:tr>
        <w:tc>
          <w:tcPr>
            <w:tcW w:type="dxa" w:w="2400"/>
            <w:tcMar>
              <w:top w:type="dxa" w:w="60"/>
              <w:left w:type="dxa" w:w="100"/>
              <w:bottom w:type="dxa" w:w="60"/>
              <w:right w:type="dxa" w:w="100"/>
            </w:tcMar>
            <w:vAlign w:val="center"/>
          </w:tcPr>
          <w:p>
            <w:pPr>
              <w:spacing w:after="0"/>
            </w:pPr>
            <w:r>
              <w:rPr>
                <w:b w:val="false"/>
                <w:bCs w:val="false"/>
                <w:color w:val="000000"/>
                <w:sz w:val="18"/>
                <w:szCs w:val="18"/>
              </w:rPr>
              <w:t xml:space="preserve">AWBIssued</w:t>
            </w:r>
          </w:p>
        </w:tc>
        <w:tc>
          <w:tcPr>
            <w:tcW w:type="dxa" w:w="2400"/>
            <w:tcMar>
              <w:top w:type="dxa" w:w="60"/>
              <w:left w:type="dxa" w:w="100"/>
              <w:bottom w:type="dxa" w:w="60"/>
              <w:right w:type="dxa" w:w="100"/>
            </w:tcMar>
            <w:vAlign w:val="center"/>
          </w:tcPr>
          <w:p>
            <w:pPr>
              <w:spacing w:after="0"/>
            </w:pPr>
            <w:r>
              <w:rPr>
                <w:b w:val="false"/>
                <w:bCs w:val="false"/>
                <w:color w:val="000000"/>
                <w:sz w:val="18"/>
                <w:szCs w:val="18"/>
              </w:rPr>
              <w:t xml:space="preserve">Logistics service, on Air Waybill creation</w:t>
            </w:r>
          </w:p>
        </w:tc>
        <w:tc>
          <w:tcPr>
            <w:tcW w:type="dxa" w:w="4840"/>
            <w:tcMar>
              <w:top w:type="dxa" w:w="60"/>
              <w:left w:type="dxa" w:w="100"/>
              <w:bottom w:type="dxa" w:w="60"/>
              <w:right w:type="dxa" w:w="100"/>
            </w:tcMar>
            <w:vAlign w:val="center"/>
          </w:tcPr>
          <w:p>
            <w:pPr>
              <w:spacing w:after="0"/>
            </w:pPr>
            <w:r>
              <w:rPr>
                <w:b w:val="false"/>
                <w:bCs w:val="false"/>
                <w:color w:val="000000"/>
                <w:sz w:val="18"/>
                <w:szCs w:val="18"/>
              </w:rPr>
              <w:t xml:space="preserve">CRM service → links the AWB reference onto the originating Opportunity for sales visibility; Notification service → alerts the account owner.</w:t>
            </w:r>
          </w:p>
        </w:tc>
      </w:tr>
      <w:tr>
        <w:tc>
          <w:tcPr>
            <w:tcW w:type="dxa" w:w="24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FSUReceived</w:t>
            </w:r>
          </w:p>
        </w:tc>
        <w:tc>
          <w:tcPr>
            <w:tcW w:type="dxa" w:w="24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Logistics service, per ingested FSU message</w:t>
            </w:r>
          </w:p>
        </w:tc>
        <w:tc>
          <w:tcPr>
            <w:tcW w:type="dxa" w:w="48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UI → live-updates the tracking timeline (§4.3); AI layer → surfaces delivery/delay milestones in executive insights.</w:t>
            </w:r>
          </w:p>
        </w:tc>
      </w:tr>
      <w:tr>
        <w:tc>
          <w:tcPr>
            <w:tcW w:type="dxa" w:w="2400"/>
            <w:tcMar>
              <w:top w:type="dxa" w:w="60"/>
              <w:left w:type="dxa" w:w="100"/>
              <w:bottom w:type="dxa" w:w="60"/>
              <w:right w:type="dxa" w:w="100"/>
            </w:tcMar>
            <w:vAlign w:val="center"/>
          </w:tcPr>
          <w:p>
            <w:pPr>
              <w:spacing w:after="0"/>
            </w:pPr>
            <w:r>
              <w:rPr>
                <w:b w:val="false"/>
                <w:bCs w:val="false"/>
                <w:color w:val="000000"/>
                <w:sz w:val="18"/>
                <w:szCs w:val="18"/>
              </w:rPr>
              <w:t xml:space="preserve">CustomsHeld</w:t>
            </w:r>
          </w:p>
        </w:tc>
        <w:tc>
          <w:tcPr>
            <w:tcW w:type="dxa" w:w="2400"/>
            <w:tcMar>
              <w:top w:type="dxa" w:w="60"/>
              <w:left w:type="dxa" w:w="100"/>
              <w:bottom w:type="dxa" w:w="60"/>
              <w:right w:type="dxa" w:w="100"/>
            </w:tcMar>
            <w:vAlign w:val="center"/>
          </w:tcPr>
          <w:p>
            <w:pPr>
              <w:spacing w:after="0"/>
            </w:pPr>
            <w:r>
              <w:rPr>
                <w:b w:val="false"/>
                <w:bCs w:val="false"/>
                <w:color w:val="000000"/>
                <w:sz w:val="18"/>
                <w:szCs w:val="18"/>
              </w:rPr>
              <w:t xml:space="preserve">Logistics service, on Customs Clearance status = Held</w:t>
            </w:r>
          </w:p>
        </w:tc>
        <w:tc>
          <w:tcPr>
            <w:tcW w:type="dxa" w:w="4840"/>
            <w:tcMar>
              <w:top w:type="dxa" w:w="60"/>
              <w:left w:type="dxa" w:w="100"/>
              <w:bottom w:type="dxa" w:w="60"/>
              <w:right w:type="dxa" w:w="100"/>
            </w:tcMar>
            <w:vAlign w:val="center"/>
          </w:tcPr>
          <w:p>
            <w:pPr>
              <w:spacing w:after="0"/>
            </w:pPr>
            <w:r>
              <w:rPr>
                <w:b w:val="false"/>
                <w:bCs w:val="false"/>
                <w:color w:val="000000"/>
                <w:sz w:val="18"/>
                <w:szCs w:val="18"/>
              </w:rPr>
              <w:t xml:space="preserve">Notification service → alert to the broker and account owner; UI → adds the shipment to the Exception Queue (§4.4).</w:t>
            </w:r>
          </w:p>
        </w:tc>
      </w:tr>
      <w:tr>
        <w:tc>
          <w:tcPr>
            <w:tcW w:type="dxa" w:w="24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ShipmentDelivered</w:t>
            </w:r>
          </w:p>
        </w:tc>
        <w:tc>
          <w:tcPr>
            <w:tcW w:type="dxa" w:w="24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Logistics service, on FSU code = DLV</w:t>
            </w:r>
          </w:p>
        </w:tc>
        <w:tc>
          <w:tcPr>
            <w:tcW w:type="dxa" w:w="48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CRM service → updates the account’s delivery-performance history; Finance module → releases the shipment for invoicing.</w:t>
            </w:r>
          </w:p>
        </w:tc>
      </w:tr>
    </w:tbl>
    <w:p>
      <w:pPr>
        <w:spacing w:after="200"/>
      </w:pPr>
    </w:p>
    <w:p>
      <w:pPr>
        <w:spacing w:after="160" w:line="276"/>
      </w:pPr>
      <w:r>
        <w:t xml:space="preserve">As in the base platform, this event-driven boundary means the CRM and logistics teams can evolve their schemas independently, and the semantic layer (§5.3) can read across both domains without either service exposing its internal tables to the other.</w:t>
      </w:r>
    </w:p>
    <w:p>
      <w:pPr>
        <w:pStyle w:val="Heading2"/>
        <w:spacing w:after="150" w:before="300"/>
      </w:pPr>
      <w:r>
        <w:t xml:space="preserve">5.3 Semantic Data Handling &amp; AI Query Layer Extension</w:t>
      </w:r>
    </w:p>
    <w:p>
      <w:pPr>
        <w:spacing w:after="160" w:line="276"/>
      </w:pPr>
      <w:r>
        <w:t xml:space="preserve">The governed metric catalog described in the base technical specification (§4.1) is extended with a logistics-specific set of metric definitions, so freight questions are answered through the same interpret → confirm → execute pipeline as CRM/ERP questions — the AI layer never computes a freight number itself.</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00"/>
        <w:gridCol w:w="4840"/>
        <w:gridCol w:w="2200"/>
      </w:tblGrid>
      <w:tr>
        <w:trPr>
          <w:tblHeader/>
        </w:trPr>
        <w:tc>
          <w:tcPr>
            <w:tcW w:type="dxa" w:w="2600"/>
            <w:shd w:fill="1F3864" w:val="clear"/>
            <w:tcMar>
              <w:top w:type="dxa" w:w="80"/>
              <w:left w:type="dxa" w:w="100"/>
              <w:bottom w:type="dxa" w:w="80"/>
              <w:right w:type="dxa" w:w="100"/>
            </w:tcMar>
            <w:vAlign w:val="center"/>
          </w:tcPr>
          <w:p>
            <w:pPr>
              <w:spacing w:after="0"/>
            </w:pPr>
            <w:r>
              <w:rPr>
                <w:b/>
                <w:bCs/>
                <w:color w:val="FFFFFF"/>
                <w:sz w:val="18"/>
                <w:szCs w:val="18"/>
              </w:rPr>
              <w:t xml:space="preserve">Example metric_id</w:t>
            </w:r>
          </w:p>
        </w:tc>
        <w:tc>
          <w:tcPr>
            <w:tcW w:type="dxa" w:w="4840"/>
            <w:shd w:fill="1F3864" w:val="clear"/>
            <w:tcMar>
              <w:top w:type="dxa" w:w="80"/>
              <w:left w:type="dxa" w:w="100"/>
              <w:bottom w:type="dxa" w:w="80"/>
              <w:right w:type="dxa" w:w="100"/>
            </w:tcMar>
            <w:vAlign w:val="center"/>
          </w:tcPr>
          <w:p>
            <w:pPr>
              <w:spacing w:after="0"/>
            </w:pPr>
            <w:r>
              <w:rPr>
                <w:b/>
                <w:bCs/>
                <w:color w:val="FFFFFF"/>
                <w:sz w:val="18"/>
                <w:szCs w:val="18"/>
              </w:rPr>
              <w:t xml:space="preserve">Definition basis</w:t>
            </w:r>
          </w:p>
        </w:tc>
        <w:tc>
          <w:tcPr>
            <w:tcW w:type="dxa" w:w="2200"/>
            <w:shd w:fill="1F3864" w:val="clear"/>
            <w:tcMar>
              <w:top w:type="dxa" w:w="80"/>
              <w:left w:type="dxa" w:w="100"/>
              <w:bottom w:type="dxa" w:w="80"/>
              <w:right w:type="dxa" w:w="100"/>
            </w:tcMar>
            <w:vAlign w:val="center"/>
          </w:tcPr>
          <w:p>
            <w:pPr>
              <w:spacing w:after="0"/>
            </w:pPr>
            <w:r>
              <w:rPr>
                <w:b/>
                <w:bCs/>
                <w:color w:val="FFFFFF"/>
                <w:sz w:val="18"/>
                <w:szCs w:val="18"/>
              </w:rPr>
              <w:t xml:space="preserve">sensitivity</w:t>
            </w:r>
          </w:p>
        </w:tc>
      </w:tr>
      <w:tr>
        <w:tc>
          <w:tcPr>
            <w:tcW w:type="dxa" w:w="2600"/>
            <w:tcMar>
              <w:top w:type="dxa" w:w="60"/>
              <w:left w:type="dxa" w:w="100"/>
              <w:bottom w:type="dxa" w:w="60"/>
              <w:right w:type="dxa" w:w="100"/>
            </w:tcMar>
            <w:vAlign w:val="center"/>
          </w:tcPr>
          <w:p>
            <w:pPr>
              <w:spacing w:after="0"/>
            </w:pPr>
            <w:r>
              <w:rPr>
                <w:b w:val="false"/>
                <w:bCs w:val="false"/>
                <w:color w:val="000000"/>
                <w:sz w:val="18"/>
                <w:szCs w:val="18"/>
              </w:rPr>
              <w:t xml:space="preserve">otd_rate_by_lane</w:t>
            </w:r>
          </w:p>
        </w:tc>
        <w:tc>
          <w:tcPr>
            <w:tcW w:type="dxa" w:w="4840"/>
            <w:tcMar>
              <w:top w:type="dxa" w:w="60"/>
              <w:left w:type="dxa" w:w="100"/>
              <w:bottom w:type="dxa" w:w="60"/>
              <w:right w:type="dxa" w:w="100"/>
            </w:tcMar>
            <w:vAlign w:val="center"/>
          </w:tcPr>
          <w:p>
            <w:pPr>
              <w:spacing w:after="0"/>
            </w:pPr>
            <w:r>
              <w:rPr>
                <w:b w:val="false"/>
                <w:bCs w:val="false"/>
                <w:color w:val="000000"/>
                <w:sz w:val="18"/>
                <w:szCs w:val="18"/>
              </w:rPr>
              <w:t xml:space="preserve">% of shipments with pod_signed_at ≤ contracted delivery window, grouped by trade_lane.</w:t>
            </w:r>
          </w:p>
        </w:tc>
        <w:tc>
          <w:tcPr>
            <w:tcW w:type="dxa" w:w="2200"/>
            <w:tcMar>
              <w:top w:type="dxa" w:w="60"/>
              <w:left w:type="dxa" w:w="100"/>
              <w:bottom w:type="dxa" w:w="60"/>
              <w:right w:type="dxa" w:w="100"/>
            </w:tcMar>
            <w:vAlign w:val="center"/>
          </w:tcPr>
          <w:p>
            <w:pPr>
              <w:spacing w:after="0"/>
            </w:pPr>
            <w:r>
              <w:rPr>
                <w:b w:val="false"/>
                <w:bCs w:val="false"/>
                <w:color w:val="000000"/>
                <w:sz w:val="18"/>
                <w:szCs w:val="18"/>
              </w:rPr>
              <w:t xml:space="preserve">Operational</w:t>
            </w:r>
          </w:p>
        </w:tc>
      </w:tr>
      <w:tr>
        <w:tc>
          <w:tcPr>
            <w:tcW w:type="dxa" w:w="26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avg_customs_dwell_hours</w:t>
            </w:r>
          </w:p>
        </w:tc>
        <w:tc>
          <w:tcPr>
            <w:tcW w:type="dxa" w:w="48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AVG(cleared_at − filed_at) from logi.customs_clearances, filterable by jurisdiction.</w:t>
            </w:r>
          </w:p>
        </w:tc>
        <w:tc>
          <w:tcPr>
            <w:tcW w:type="dxa" w:w="22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Operational</w:t>
            </w:r>
          </w:p>
        </w:tc>
      </w:tr>
      <w:tr>
        <w:tc>
          <w:tcPr>
            <w:tcW w:type="dxa" w:w="2600"/>
            <w:tcMar>
              <w:top w:type="dxa" w:w="60"/>
              <w:left w:type="dxa" w:w="100"/>
              <w:bottom w:type="dxa" w:w="60"/>
              <w:right w:type="dxa" w:w="100"/>
            </w:tcMar>
            <w:vAlign w:val="center"/>
          </w:tcPr>
          <w:p>
            <w:pPr>
              <w:spacing w:after="0"/>
            </w:pPr>
            <w:r>
              <w:rPr>
                <w:b w:val="false"/>
                <w:bCs w:val="false"/>
                <w:color w:val="000000"/>
                <w:sz w:val="18"/>
                <w:szCs w:val="18"/>
              </w:rPr>
              <w:t xml:space="preserve">open_exceptions_count</w:t>
            </w:r>
          </w:p>
        </w:tc>
        <w:tc>
          <w:tcPr>
            <w:tcW w:type="dxa" w:w="4840"/>
            <w:tcMar>
              <w:top w:type="dxa" w:w="60"/>
              <w:left w:type="dxa" w:w="100"/>
              <w:bottom w:type="dxa" w:w="60"/>
              <w:right w:type="dxa" w:w="100"/>
            </w:tcMar>
            <w:vAlign w:val="center"/>
          </w:tcPr>
          <w:p>
            <w:pPr>
              <w:spacing w:after="0"/>
            </w:pPr>
            <w:r>
              <w:rPr>
                <w:b w:val="false"/>
                <w:bCs w:val="false"/>
                <w:color w:val="000000"/>
                <w:sz w:val="18"/>
                <w:szCs w:val="18"/>
              </w:rPr>
              <w:t xml:space="preserve">COUNT of shipments in Customs Hold / Exception status or with an unresolved AWR/MAN event.</w:t>
            </w:r>
          </w:p>
        </w:tc>
        <w:tc>
          <w:tcPr>
            <w:tcW w:type="dxa" w:w="2200"/>
            <w:tcMar>
              <w:top w:type="dxa" w:w="60"/>
              <w:left w:type="dxa" w:w="100"/>
              <w:bottom w:type="dxa" w:w="60"/>
              <w:right w:type="dxa" w:w="100"/>
            </w:tcMar>
            <w:vAlign w:val="center"/>
          </w:tcPr>
          <w:p>
            <w:pPr>
              <w:spacing w:after="0"/>
            </w:pPr>
            <w:r>
              <w:rPr>
                <w:b w:val="false"/>
                <w:bCs w:val="false"/>
                <w:color w:val="000000"/>
                <w:sz w:val="18"/>
                <w:szCs w:val="18"/>
              </w:rPr>
              <w:t xml:space="preserve">Operational</w:t>
            </w:r>
          </w:p>
        </w:tc>
      </w:tr>
      <w:tr>
        <w:tc>
          <w:tcPr>
            <w:tcW w:type="dxa" w:w="26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chargeable_weight_by_carrier</w:t>
            </w:r>
          </w:p>
        </w:tc>
        <w:tc>
          <w:tcPr>
            <w:tcW w:type="dxa" w:w="48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SUM(chargeable_weight_kg) from logi.air_waybills, grouped by carrier_id and period.</w:t>
            </w:r>
          </w:p>
        </w:tc>
        <w:tc>
          <w:tcPr>
            <w:tcW w:type="dxa" w:w="22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Restricted (rate-sensitive)</w:t>
            </w:r>
          </w:p>
        </w:tc>
      </w:tr>
    </w:tbl>
    <w:p>
      <w:pPr>
        <w:spacing w:after="200"/>
      </w:pPr>
    </w:p>
    <w:p>
      <w:pPr>
        <w:spacing w:after="160" w:line="276"/>
      </w:pPr>
      <w:r>
        <w:t xml:space="preserve">Semantic retrieval, slot filling, and the human-confirmation step (Proposed → Accepted → Rejected → Escalated) work identically to the base platform’s AI-layer architecture; only the metric catalog and underlying source_tables differ for logistics questions.</w:t>
      </w:r>
    </w:p>
    <w:p>
      <w:pPr>
        <w:pStyle w:val="Heading2"/>
        <w:spacing w:after="150" w:before="300"/>
      </w:pPr>
      <w:r>
        <w:t xml:space="preserve">5.4 API Layer &amp; Technology Stack</w:t>
      </w:r>
    </w:p>
    <w:p>
      <w:pPr>
        <w:pStyle w:val="ListParagraph"/>
        <w:numPr>
          <w:ilvl w:val="0"/>
          <w:numId w:val="1"/>
        </w:numPr>
        <w:spacing w:after="90" w:line="264"/>
      </w:pPr>
      <w:r>
        <w:t xml:space="preserve">A single API gateway continues to front CRM and logistics as independent services, composing cross-domain views (e.g. “Opportunity with its resulting Shipment and current tracking status”) rather than the services calling each other synchronously.</w:t>
      </w:r>
    </w:p>
    <w:p>
      <w:pPr>
        <w:pStyle w:val="ListParagraph"/>
        <w:numPr>
          <w:ilvl w:val="0"/>
          <w:numId w:val="1"/>
        </w:numPr>
        <w:spacing w:after="90" w:line="264"/>
      </w:pPr>
      <w:r>
        <w:t xml:space="preserve">A dedicated EDI/message broker sits in front of the logistics service for Cargo-IMP (Type B network) and Cargo-XML/ONE Record traffic, decoupling carrier connectivity protocols from the internal event bus.</w:t>
      </w:r>
    </w:p>
    <w:p>
      <w:pPr>
        <w:pStyle w:val="ListParagraph"/>
        <w:numPr>
          <w:ilvl w:val="0"/>
          <w:numId w:val="1"/>
        </w:numPr>
        <w:spacing w:after="90" w:line="264"/>
      </w:pPr>
      <w:r>
        <w:t xml:space="preserve">The AI query service remains a separate consumer of the gateway and the semantic layer, with no direct database credentials — only access to the governed query execution endpoint, unchanged from the base platform.</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840"/>
      </w:tblGrid>
      <w:tr>
        <w:trPr>
          <w:tblHeader/>
        </w:trPr>
        <w:tc>
          <w:tcPr>
            <w:tcW w:type="dxa" w:w="2200"/>
            <w:shd w:fill="1F3864" w:val="clear"/>
            <w:tcMar>
              <w:top w:type="dxa" w:w="80"/>
              <w:left w:type="dxa" w:w="100"/>
              <w:bottom w:type="dxa" w:w="80"/>
              <w:right w:type="dxa" w:w="100"/>
            </w:tcMar>
            <w:vAlign w:val="center"/>
          </w:tcPr>
          <w:p>
            <w:pPr>
              <w:spacing w:after="0"/>
            </w:pPr>
            <w:r>
              <w:rPr>
                <w:b/>
                <w:bCs/>
                <w:color w:val="FFFFFF"/>
                <w:sz w:val="18"/>
                <w:szCs w:val="18"/>
              </w:rPr>
              <w:t xml:space="preserve">Layer</w:t>
            </w:r>
          </w:p>
        </w:tc>
        <w:tc>
          <w:tcPr>
            <w:tcW w:type="dxa" w:w="3600"/>
            <w:shd w:fill="1F3864" w:val="clear"/>
            <w:tcMar>
              <w:top w:type="dxa" w:w="80"/>
              <w:left w:type="dxa" w:w="100"/>
              <w:bottom w:type="dxa" w:w="80"/>
              <w:right w:type="dxa" w:w="100"/>
            </w:tcMar>
            <w:vAlign w:val="center"/>
          </w:tcPr>
          <w:p>
            <w:pPr>
              <w:spacing w:after="0"/>
            </w:pPr>
            <w:r>
              <w:rPr>
                <w:b/>
                <w:bCs/>
                <w:color w:val="FFFFFF"/>
                <w:sz w:val="18"/>
                <w:szCs w:val="18"/>
              </w:rPr>
              <w:t xml:space="preserve">Recommended options</w:t>
            </w:r>
          </w:p>
        </w:tc>
        <w:tc>
          <w:tcPr>
            <w:tcW w:type="dxa" w:w="3840"/>
            <w:shd w:fill="1F3864" w:val="clear"/>
            <w:tcMar>
              <w:top w:type="dxa" w:w="80"/>
              <w:left w:type="dxa" w:w="100"/>
              <w:bottom w:type="dxa" w:w="80"/>
              <w:right w:type="dxa" w:w="100"/>
            </w:tcMar>
            <w:vAlign w:val="center"/>
          </w:tcPr>
          <w:p>
            <w:pPr>
              <w:spacing w:after="0"/>
            </w:pPr>
            <w:r>
              <w:rPr>
                <w:b/>
                <w:bCs/>
                <w:color w:val="FFFFFF"/>
                <w:sz w:val="18"/>
                <w:szCs w:val="18"/>
              </w:rPr>
              <w:t xml:space="preserve">Rationale</w:t>
            </w:r>
          </w:p>
        </w:tc>
      </w:tr>
      <w:tr>
        <w:tc>
          <w:tcPr>
            <w:tcW w:type="dxa" w:w="2200"/>
            <w:tcMar>
              <w:top w:type="dxa" w:w="60"/>
              <w:left w:type="dxa" w:w="100"/>
              <w:bottom w:type="dxa" w:w="60"/>
              <w:right w:type="dxa" w:w="100"/>
            </w:tcMar>
            <w:vAlign w:val="center"/>
          </w:tcPr>
          <w:p>
            <w:pPr>
              <w:spacing w:after="0"/>
            </w:pPr>
            <w:r>
              <w:rPr>
                <w:b w:val="false"/>
                <w:bCs w:val="false"/>
                <w:color w:val="000000"/>
                <w:sz w:val="18"/>
                <w:szCs w:val="18"/>
              </w:rPr>
              <w:t xml:space="preserve">Transactional stores</w:t>
            </w:r>
          </w:p>
        </w:tc>
        <w:tc>
          <w:tcPr>
            <w:tcW w:type="dxa" w:w="3600"/>
            <w:tcMar>
              <w:top w:type="dxa" w:w="60"/>
              <w:left w:type="dxa" w:w="100"/>
              <w:bottom w:type="dxa" w:w="60"/>
              <w:right w:type="dxa" w:w="100"/>
            </w:tcMar>
            <w:vAlign w:val="center"/>
          </w:tcPr>
          <w:p>
            <w:pPr>
              <w:spacing w:after="0"/>
            </w:pPr>
            <w:r>
              <w:rPr>
                <w:b w:val="false"/>
                <w:bCs w:val="false"/>
                <w:color w:val="000000"/>
                <w:sz w:val="18"/>
                <w:szCs w:val="18"/>
              </w:rPr>
              <w:t xml:space="preserve">PostgreSQL (per-service schema/database)</w:t>
            </w:r>
          </w:p>
        </w:tc>
        <w:tc>
          <w:tcPr>
            <w:tcW w:type="dxa" w:w="3840"/>
            <w:tcMar>
              <w:top w:type="dxa" w:w="60"/>
              <w:left w:type="dxa" w:w="100"/>
              <w:bottom w:type="dxa" w:w="60"/>
              <w:right w:type="dxa" w:w="100"/>
            </w:tcMar>
            <w:vAlign w:val="center"/>
          </w:tcPr>
          <w:p>
            <w:pPr>
              <w:spacing w:after="0"/>
            </w:pPr>
            <w:r>
              <w:rPr>
                <w:b w:val="false"/>
                <w:bCs w:val="false"/>
                <w:color w:val="000000"/>
                <w:sz w:val="18"/>
                <w:szCs w:val="18"/>
              </w:rPr>
              <w:t xml:space="preserve">Strong relational integrity for CRM/logistics write paths; native row-level security.</w:t>
            </w:r>
          </w:p>
        </w:tc>
      </w:tr>
      <w:tr>
        <w:tc>
          <w:tcPr>
            <w:tcW w:type="dxa" w:w="22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EDI / message broker</w:t>
            </w:r>
          </w:p>
        </w:tc>
        <w:tc>
          <w:tcPr>
            <w:tcW w:type="dxa" w:w="36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Type B network gateway + Cargo-XML/REST adapter feeding the event bus</w:t>
            </w:r>
          </w:p>
        </w:tc>
        <w:tc>
          <w:tcPr>
            <w:tcW w:type="dxa" w:w="38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Normalizes legacy Cargo-IMP and modern Cargo-XML/ONE Record into one canonical ingestion path (§5.1).</w:t>
            </w:r>
          </w:p>
        </w:tc>
      </w:tr>
      <w:tr>
        <w:tc>
          <w:tcPr>
            <w:tcW w:type="dxa" w:w="2200"/>
            <w:tcMar>
              <w:top w:type="dxa" w:w="60"/>
              <w:left w:type="dxa" w:w="100"/>
              <w:bottom w:type="dxa" w:w="60"/>
              <w:right w:type="dxa" w:w="100"/>
            </w:tcMar>
            <w:vAlign w:val="center"/>
          </w:tcPr>
          <w:p>
            <w:pPr>
              <w:spacing w:after="0"/>
            </w:pPr>
            <w:r>
              <w:rPr>
                <w:b w:val="false"/>
                <w:bCs w:val="false"/>
                <w:color w:val="000000"/>
                <w:sz w:val="18"/>
                <w:szCs w:val="18"/>
              </w:rPr>
              <w:t xml:space="preserve">Event bus</w:t>
            </w:r>
          </w:p>
        </w:tc>
        <w:tc>
          <w:tcPr>
            <w:tcW w:type="dxa" w:w="3600"/>
            <w:tcMar>
              <w:top w:type="dxa" w:w="60"/>
              <w:left w:type="dxa" w:w="100"/>
              <w:bottom w:type="dxa" w:w="60"/>
              <w:right w:type="dxa" w:w="100"/>
            </w:tcMar>
            <w:vAlign w:val="center"/>
          </w:tcPr>
          <w:p>
            <w:pPr>
              <w:spacing w:after="0"/>
            </w:pPr>
            <w:r>
              <w:rPr>
                <w:b w:val="false"/>
                <w:bCs w:val="false"/>
                <w:color w:val="000000"/>
                <w:sz w:val="18"/>
                <w:szCs w:val="18"/>
              </w:rPr>
              <w:t xml:space="preserve">Kafka or a managed equivalent (e.g. cloud pub/sub)</w:t>
            </w:r>
          </w:p>
        </w:tc>
        <w:tc>
          <w:tcPr>
            <w:tcW w:type="dxa" w:w="3840"/>
            <w:tcMar>
              <w:top w:type="dxa" w:w="60"/>
              <w:left w:type="dxa" w:w="100"/>
              <w:bottom w:type="dxa" w:w="60"/>
              <w:right w:type="dxa" w:w="100"/>
            </w:tcMar>
            <w:vAlign w:val="center"/>
          </w:tcPr>
          <w:p>
            <w:pPr>
              <w:spacing w:after="0"/>
            </w:pPr>
            <w:r>
              <w:rPr>
                <w:b w:val="false"/>
                <w:bCs w:val="false"/>
                <w:color w:val="000000"/>
                <w:sz w:val="18"/>
                <w:szCs w:val="18"/>
              </w:rPr>
              <w:t xml:space="preserve">Durable, replayable event log for cross-service integration and audit, including high-volume FSU traffic.</w:t>
            </w:r>
          </w:p>
        </w:tc>
      </w:tr>
      <w:tr>
        <w:tc>
          <w:tcPr>
            <w:tcW w:type="dxa" w:w="22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Analytical store</w:t>
            </w:r>
          </w:p>
        </w:tc>
        <w:tc>
          <w:tcPr>
            <w:tcW w:type="dxa" w:w="36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Columnar warehouse fed by CDC</w:t>
            </w:r>
          </w:p>
        </w:tc>
        <w:tc>
          <w:tcPr>
            <w:tcW w:type="dxa" w:w="38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Fast aggregate queries for the semantic layer (§5.3) without touching OLTP.</w:t>
            </w:r>
          </w:p>
        </w:tc>
      </w:tr>
      <w:tr>
        <w:tc>
          <w:tcPr>
            <w:tcW w:type="dxa" w:w="2200"/>
            <w:tcMar>
              <w:top w:type="dxa" w:w="60"/>
              <w:left w:type="dxa" w:w="100"/>
              <w:bottom w:type="dxa" w:w="60"/>
              <w:right w:type="dxa" w:w="100"/>
            </w:tcMar>
            <w:vAlign w:val="center"/>
          </w:tcPr>
          <w:p>
            <w:pPr>
              <w:spacing w:after="0"/>
            </w:pPr>
            <w:r>
              <w:rPr>
                <w:b w:val="false"/>
                <w:bCs w:val="false"/>
                <w:color w:val="000000"/>
                <w:sz w:val="18"/>
                <w:szCs w:val="18"/>
              </w:rPr>
              <w:t xml:space="preserve">Semantic layer</w:t>
            </w:r>
          </w:p>
        </w:tc>
        <w:tc>
          <w:tcPr>
            <w:tcW w:type="dxa" w:w="3600"/>
            <w:tcMar>
              <w:top w:type="dxa" w:w="60"/>
              <w:left w:type="dxa" w:w="100"/>
              <w:bottom w:type="dxa" w:w="60"/>
              <w:right w:type="dxa" w:w="100"/>
            </w:tcMar>
            <w:vAlign w:val="center"/>
          </w:tcPr>
          <w:p>
            <w:pPr>
              <w:spacing w:after="0"/>
            </w:pPr>
            <w:r>
              <w:rPr>
                <w:b w:val="false"/>
                <w:bCs w:val="false"/>
                <w:color w:val="000000"/>
                <w:sz w:val="18"/>
                <w:szCs w:val="18"/>
              </w:rPr>
              <w:t xml:space="preserve">Metrics-layer tooling (headless BI/semantic framework)</w:t>
            </w:r>
          </w:p>
        </w:tc>
        <w:tc>
          <w:tcPr>
            <w:tcW w:type="dxa" w:w="3840"/>
            <w:tcMar>
              <w:top w:type="dxa" w:w="60"/>
              <w:left w:type="dxa" w:w="100"/>
              <w:bottom w:type="dxa" w:w="60"/>
              <w:right w:type="dxa" w:w="100"/>
            </w:tcMar>
            <w:vAlign w:val="center"/>
          </w:tcPr>
          <w:p>
            <w:pPr>
              <w:spacing w:after="0"/>
            </w:pPr>
            <w:r>
              <w:rPr>
                <w:b w:val="false"/>
                <w:bCs w:val="false"/>
                <w:color w:val="000000"/>
                <w:sz w:val="18"/>
                <w:szCs w:val="18"/>
              </w:rPr>
              <w:t xml:space="preserve">Central, versioned metric definitions consumable by both AI and BI, shared across CRM and logistics.</w:t>
            </w:r>
          </w:p>
        </w:tc>
      </w:tr>
      <w:tr>
        <w:tc>
          <w:tcPr>
            <w:tcW w:type="dxa" w:w="22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AI orchestration</w:t>
            </w:r>
          </w:p>
        </w:tc>
        <w:tc>
          <w:tcPr>
            <w:tcW w:type="dxa" w:w="36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LLM via function-calling / tool-use API, retrieval index for metric and document-extraction catalogs</w:t>
            </w:r>
          </w:p>
        </w:tc>
        <w:tc>
          <w:tcPr>
            <w:tcW w:type="dxa" w:w="38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Matches the constrained-output design used for both query interpretation (§5.3) and document extraction (§4.2).</w:t>
            </w:r>
          </w:p>
        </w:tc>
      </w:tr>
      <w:tr>
        <w:tc>
          <w:tcPr>
            <w:tcW w:type="dxa" w:w="2200"/>
            <w:tcMar>
              <w:top w:type="dxa" w:w="60"/>
              <w:left w:type="dxa" w:w="100"/>
              <w:bottom w:type="dxa" w:w="60"/>
              <w:right w:type="dxa" w:w="100"/>
            </w:tcMar>
            <w:vAlign w:val="center"/>
          </w:tcPr>
          <w:p>
            <w:pPr>
              <w:spacing w:after="0"/>
            </w:pPr>
            <w:r>
              <w:rPr>
                <w:b w:val="false"/>
                <w:bCs w:val="false"/>
                <w:color w:val="000000"/>
                <w:sz w:val="18"/>
                <w:szCs w:val="18"/>
              </w:rPr>
              <w:t xml:space="preserve">API gateway</w:t>
            </w:r>
          </w:p>
        </w:tc>
        <w:tc>
          <w:tcPr>
            <w:tcW w:type="dxa" w:w="3600"/>
            <w:tcMar>
              <w:top w:type="dxa" w:w="60"/>
              <w:left w:type="dxa" w:w="100"/>
              <w:bottom w:type="dxa" w:w="60"/>
              <w:right w:type="dxa" w:w="100"/>
            </w:tcMar>
            <w:vAlign w:val="center"/>
          </w:tcPr>
          <w:p>
            <w:pPr>
              <w:spacing w:after="0"/>
            </w:pPr>
            <w:r>
              <w:rPr>
                <w:b w:val="false"/>
                <w:bCs w:val="false"/>
                <w:color w:val="000000"/>
                <w:sz w:val="18"/>
                <w:szCs w:val="18"/>
              </w:rPr>
              <w:t xml:space="preserve">Managed API gateway with OAuth2 / OIDC</w:t>
            </w:r>
          </w:p>
        </w:tc>
        <w:tc>
          <w:tcPr>
            <w:tcW w:type="dxa" w:w="3840"/>
            <w:tcMar>
              <w:top w:type="dxa" w:w="60"/>
              <w:left w:type="dxa" w:w="100"/>
              <w:bottom w:type="dxa" w:w="60"/>
              <w:right w:type="dxa" w:w="100"/>
            </w:tcMar>
            <w:vAlign w:val="center"/>
          </w:tcPr>
          <w:p>
            <w:pPr>
              <w:spacing w:after="0"/>
            </w:pPr>
            <w:r>
              <w:rPr>
                <w:b w:val="false"/>
                <w:bCs w:val="false"/>
                <w:color w:val="000000"/>
                <w:sz w:val="18"/>
                <w:szCs w:val="18"/>
              </w:rPr>
              <w:t xml:space="preserve">Centralized authN/authZ ahead of both services and the AI layer.</w:t>
            </w:r>
          </w:p>
        </w:tc>
      </w:tr>
    </w:tbl>
    <w:p>
      <w:pPr>
        <w:spacing w:after="200"/>
      </w:pPr>
    </w:p>
    <w:p>
      <w:pPr>
        <w:pStyle w:val="Heading2"/>
        <w:spacing w:after="150" w:before="300"/>
      </w:pPr>
      <w:r>
        <w:t xml:space="preserve">5.5 Phased Rollout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640"/>
      </w:tblGrid>
      <w:tr>
        <w:trPr>
          <w:tblHeader/>
        </w:trPr>
        <w:tc>
          <w:tcPr>
            <w:tcW w:type="dxa" w:w="2000"/>
            <w:shd w:fill="1F3864" w:val="clear"/>
            <w:tcMar>
              <w:top w:type="dxa" w:w="80"/>
              <w:left w:type="dxa" w:w="100"/>
              <w:bottom w:type="dxa" w:w="80"/>
              <w:right w:type="dxa" w:w="100"/>
            </w:tcMar>
            <w:vAlign w:val="center"/>
          </w:tcPr>
          <w:p>
            <w:pPr>
              <w:spacing w:after="0"/>
            </w:pPr>
            <w:r>
              <w:rPr>
                <w:b/>
                <w:bCs/>
                <w:color w:val="FFFFFF"/>
                <w:sz w:val="18"/>
                <w:szCs w:val="18"/>
              </w:rPr>
              <w:t xml:space="preserve">Phase</w:t>
            </w:r>
          </w:p>
        </w:tc>
        <w:tc>
          <w:tcPr>
            <w:tcW w:type="dxa" w:w="4000"/>
            <w:shd w:fill="1F3864" w:val="clear"/>
            <w:tcMar>
              <w:top w:type="dxa" w:w="80"/>
              <w:left w:type="dxa" w:w="100"/>
              <w:bottom w:type="dxa" w:w="80"/>
              <w:right w:type="dxa" w:w="100"/>
            </w:tcMar>
            <w:vAlign w:val="center"/>
          </w:tcPr>
          <w:p>
            <w:pPr>
              <w:spacing w:after="0"/>
            </w:pPr>
            <w:r>
              <w:rPr>
                <w:b/>
                <w:bCs/>
                <w:color w:val="FFFFFF"/>
                <w:sz w:val="18"/>
                <w:szCs w:val="18"/>
              </w:rPr>
              <w:t xml:space="preserve">Scope</w:t>
            </w:r>
          </w:p>
        </w:tc>
        <w:tc>
          <w:tcPr>
            <w:tcW w:type="dxa" w:w="3640"/>
            <w:shd w:fill="1F3864" w:val="clear"/>
            <w:tcMar>
              <w:top w:type="dxa" w:w="80"/>
              <w:left w:type="dxa" w:w="100"/>
              <w:bottom w:type="dxa" w:w="80"/>
              <w:right w:type="dxa" w:w="100"/>
            </w:tcMar>
            <w:vAlign w:val="center"/>
          </w:tcPr>
          <w:p>
            <w:pPr>
              <w:spacing w:after="0"/>
            </w:pPr>
            <w:r>
              <w:rPr>
                <w:b/>
                <w:bCs/>
                <w:color w:val="FFFFFF"/>
                <w:sz w:val="18"/>
                <w:szCs w:val="18"/>
              </w:rPr>
              <w:t xml:space="preserve">Exit criteria</w:t>
            </w:r>
          </w:p>
        </w:tc>
      </w:tr>
      <w:tr>
        <w:tc>
          <w:tcPr>
            <w:tcW w:type="dxa" w:w="2000"/>
            <w:tcMar>
              <w:top w:type="dxa" w:w="60"/>
              <w:left w:type="dxa" w:w="100"/>
              <w:bottom w:type="dxa" w:w="60"/>
              <w:right w:type="dxa" w:w="100"/>
            </w:tcMar>
            <w:vAlign w:val="center"/>
          </w:tcPr>
          <w:p>
            <w:pPr>
              <w:spacing w:after="0"/>
            </w:pPr>
            <w:r>
              <w:rPr>
                <w:b w:val="false"/>
                <w:bCs w:val="false"/>
                <w:color w:val="000000"/>
                <w:sz w:val="18"/>
                <w:szCs w:val="18"/>
              </w:rPr>
              <w:t xml:space="preserve">Phase 0 — Foundations</w:t>
            </w:r>
          </w:p>
        </w:tc>
        <w:tc>
          <w:tcPr>
            <w:tcW w:type="dxa" w:w="4000"/>
            <w:tcMar>
              <w:top w:type="dxa" w:w="60"/>
              <w:left w:type="dxa" w:w="100"/>
              <w:bottom w:type="dxa" w:w="60"/>
              <w:right w:type="dxa" w:w="100"/>
            </w:tcMar>
            <w:vAlign w:val="center"/>
          </w:tcPr>
          <w:p>
            <w:pPr>
              <w:spacing w:after="0"/>
            </w:pPr>
            <w:r>
              <w:rPr>
                <w:b w:val="false"/>
                <w:bCs w:val="false"/>
                <w:color w:val="000000"/>
                <w:sz w:val="18"/>
                <w:szCs w:val="18"/>
              </w:rPr>
              <w:t xml:space="preserve">Logistics schema (§3), extension of Opportunity with freight fields (§2.2), auth/RBAC reuse.</w:t>
            </w:r>
          </w:p>
        </w:tc>
        <w:tc>
          <w:tcPr>
            <w:tcW w:type="dxa" w:w="3640"/>
            <w:tcMar>
              <w:top w:type="dxa" w:w="60"/>
              <w:left w:type="dxa" w:w="100"/>
              <w:bottom w:type="dxa" w:w="60"/>
              <w:right w:type="dxa" w:w="100"/>
            </w:tcMar>
            <w:vAlign w:val="center"/>
          </w:tcPr>
          <w:p>
            <w:pPr>
              <w:spacing w:after="0"/>
            </w:pPr>
            <w:r>
              <w:rPr>
                <w:b w:val="false"/>
                <w:bCs w:val="false"/>
                <w:color w:val="000000"/>
                <w:sz w:val="18"/>
                <w:szCs w:val="18"/>
              </w:rPr>
              <w:t xml:space="preserve">Logistics service deployable in isolation with seed Shipment/AWB data.</w:t>
            </w:r>
          </w:p>
        </w:tc>
      </w:tr>
      <w:tr>
        <w:tc>
          <w:tcPr>
            <w:tcW w:type="dxa" w:w="20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Phase 1 — Messaging integration</w:t>
            </w:r>
          </w:p>
        </w:tc>
        <w:tc>
          <w:tcPr>
            <w:tcW w:type="dxa" w:w="40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Cargo-IMP/XML ingestion connectors (§5.1) for FWB, FHL, FFM, FSU into staging.</w:t>
            </w:r>
          </w:p>
        </w:tc>
        <w:tc>
          <w:tcPr>
            <w:tcW w:type="dxa" w:w="36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Inbound carrier messages reliably produce/append the correct Shipment, AWB, and tracking-event rows.</w:t>
            </w:r>
          </w:p>
        </w:tc>
      </w:tr>
      <w:tr>
        <w:tc>
          <w:tcPr>
            <w:tcW w:type="dxa" w:w="2000"/>
            <w:tcMar>
              <w:top w:type="dxa" w:w="60"/>
              <w:left w:type="dxa" w:w="100"/>
              <w:bottom w:type="dxa" w:w="60"/>
              <w:right w:type="dxa" w:w="100"/>
            </w:tcMar>
            <w:vAlign w:val="center"/>
          </w:tcPr>
          <w:p>
            <w:pPr>
              <w:spacing w:after="0"/>
            </w:pPr>
            <w:r>
              <w:rPr>
                <w:b w:val="false"/>
                <w:bCs w:val="false"/>
                <w:color w:val="000000"/>
                <w:sz w:val="18"/>
                <w:szCs w:val="18"/>
              </w:rPr>
              <w:t xml:space="preserve">Phase 2 — Event integration</w:t>
            </w:r>
          </w:p>
        </w:tc>
        <w:tc>
          <w:tcPr>
            <w:tcW w:type="dxa" w:w="4000"/>
            <w:tcMar>
              <w:top w:type="dxa" w:w="60"/>
              <w:left w:type="dxa" w:w="100"/>
              <w:bottom w:type="dxa" w:w="60"/>
              <w:right w:type="dxa" w:w="100"/>
            </w:tcMar>
            <w:vAlign w:val="center"/>
          </w:tcPr>
          <w:p>
            <w:pPr>
              <w:spacing w:after="0"/>
            </w:pPr>
            <w:r>
              <w:rPr>
                <w:b w:val="false"/>
                <w:bCs w:val="false"/>
                <w:color w:val="000000"/>
                <w:sz w:val="18"/>
                <w:szCs w:val="18"/>
              </w:rPr>
              <w:t xml:space="preserve">Event bus live for DealWon → Shipment, BookingConfirmed, FSUReceived, CustomsHeld, ShipmentDelivered.</w:t>
            </w:r>
          </w:p>
        </w:tc>
        <w:tc>
          <w:tcPr>
            <w:tcW w:type="dxa" w:w="3640"/>
            <w:tcMar>
              <w:top w:type="dxa" w:w="60"/>
              <w:left w:type="dxa" w:w="100"/>
              <w:bottom w:type="dxa" w:w="60"/>
              <w:right w:type="dxa" w:w="100"/>
            </w:tcMar>
            <w:vAlign w:val="center"/>
          </w:tcPr>
          <w:p>
            <w:pPr>
              <w:spacing w:after="0"/>
            </w:pPr>
            <w:r>
              <w:rPr>
                <w:b w:val="false"/>
                <w:bCs w:val="false"/>
                <w:color w:val="000000"/>
                <w:sz w:val="18"/>
                <w:szCs w:val="18"/>
              </w:rPr>
              <w:t xml:space="preserve">A Won deal in CRM reliably produces a Shipment with no manual step; live FSU events update the UI within seconds.</w:t>
            </w:r>
          </w:p>
        </w:tc>
      </w:tr>
      <w:tr>
        <w:tc>
          <w:tcPr>
            <w:tcW w:type="dxa" w:w="20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Phase 3 — AI-assisted UI</w:t>
            </w:r>
          </w:p>
        </w:tc>
        <w:tc>
          <w:tcPr>
            <w:tcW w:type="dxa" w:w="400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Document extraction flow (§4.2), tracking visualizations (§4.3), exception queue (§4.4).</w:t>
            </w:r>
          </w:p>
        </w:tc>
        <w:tc>
          <w:tcPr>
            <w:tcW w:type="dxa" w:w="3640"/>
            <w:shd w:fill="EAF1F8" w:val="clear"/>
            <w:tcMar>
              <w:top w:type="dxa" w:w="60"/>
              <w:left w:type="dxa" w:w="100"/>
              <w:bottom w:type="dxa" w:w="60"/>
              <w:right w:type="dxa" w:w="100"/>
            </w:tcMar>
            <w:vAlign w:val="center"/>
          </w:tcPr>
          <w:p>
            <w:pPr>
              <w:spacing w:after="0"/>
            </w:pPr>
            <w:r>
              <w:rPr>
                <w:b w:val="false"/>
                <w:bCs w:val="false"/>
                <w:color w:val="000000"/>
                <w:sz w:val="18"/>
                <w:szCs w:val="18"/>
              </w:rPr>
              <w:t xml:space="preserve">Extraction confidence and confirmation-workflow accuracy meet target on a held-out document set.</w:t>
            </w:r>
          </w:p>
        </w:tc>
      </w:tr>
      <w:tr>
        <w:tc>
          <w:tcPr>
            <w:tcW w:type="dxa" w:w="2000"/>
            <w:tcMar>
              <w:top w:type="dxa" w:w="60"/>
              <w:left w:type="dxa" w:w="100"/>
              <w:bottom w:type="dxa" w:w="60"/>
              <w:right w:type="dxa" w:w="100"/>
            </w:tcMar>
            <w:vAlign w:val="center"/>
          </w:tcPr>
          <w:p>
            <w:pPr>
              <w:spacing w:after="0"/>
            </w:pPr>
            <w:r>
              <w:rPr>
                <w:b w:val="false"/>
                <w:bCs w:val="false"/>
                <w:color w:val="000000"/>
                <w:sz w:val="18"/>
                <w:szCs w:val="18"/>
              </w:rPr>
              <w:t xml:space="preserve">Phase 4 — Semantic layer &amp; rollout</w:t>
            </w:r>
          </w:p>
        </w:tc>
        <w:tc>
          <w:tcPr>
            <w:tcW w:type="dxa" w:w="4000"/>
            <w:tcMar>
              <w:top w:type="dxa" w:w="60"/>
              <w:left w:type="dxa" w:w="100"/>
              <w:bottom w:type="dxa" w:w="60"/>
              <w:right w:type="dxa" w:w="100"/>
            </w:tcMar>
            <w:vAlign w:val="center"/>
          </w:tcPr>
          <w:p>
            <w:pPr>
              <w:spacing w:after="0"/>
            </w:pPr>
            <w:r>
              <w:rPr>
                <w:b w:val="false"/>
                <w:bCs w:val="false"/>
                <w:color w:val="000000"/>
                <w:sz w:val="18"/>
                <w:szCs w:val="18"/>
              </w:rPr>
              <w:t xml:space="preserve">Logistics metric catalog (§5.3) authored; role-based dashboard and mobile access to all user tiers.</w:t>
            </w:r>
          </w:p>
        </w:tc>
        <w:tc>
          <w:tcPr>
            <w:tcW w:type="dxa" w:w="3640"/>
            <w:tcMar>
              <w:top w:type="dxa" w:w="60"/>
              <w:left w:type="dxa" w:w="100"/>
              <w:bottom w:type="dxa" w:w="60"/>
              <w:right w:type="dxa" w:w="100"/>
            </w:tcMar>
            <w:vAlign w:val="center"/>
          </w:tcPr>
          <w:p>
            <w:pPr>
              <w:spacing w:after="0"/>
            </w:pPr>
            <w:r>
              <w:rPr>
                <w:b w:val="false"/>
                <w:bCs w:val="false"/>
                <w:color w:val="000000"/>
                <w:sz w:val="18"/>
                <w:szCs w:val="18"/>
              </w:rPr>
              <w:t xml:space="preserve">Alerts, RBAC views, and AI answers verified in production against carrier-confirmed source data.</w:t>
            </w:r>
          </w:p>
        </w:tc>
      </w:tr>
    </w:tbl>
    <w:p>
      <w:pPr>
        <w:spacing w:after="200"/>
      </w:pPr>
    </w:p>
    <w:p>
      <w:pPr>
        <w:spacing w:before="400"/>
        <w:jc w:val="center"/>
      </w:pPr>
      <w:r>
        <w:rPr>
          <w:i/>
          <w:iCs/>
          <w:color w:val="595959"/>
        </w:rPr>
        <w:t xml:space="preserve">End of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260"/>
      </w:pPr>
    </w:lvl>
  </w:abstractNum>
  <w:abstractNum w:abstractNumId="3" w15:restartNumberingAfterBreak="0">
    <w:multiLevelType w:val="hybridMultilevel"/>
    <w:lvl w:ilvl="0" w15:tentative="1">
      <w:start w:val="1"/>
      <w:numFmt w:val="decimal"/>
      <w:lvlText w:val="%1."/>
      <w:lvlJc w:val="start"/>
      <w:pPr>
        <w:ind w:left="45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200" w:before="400"/>
    </w:pPr>
    <w:rPr>
      <w:rFonts w:ascii="Calibri" w:cs="Calibri" w:eastAsia="Calibri" w:hAnsi="Calibri"/>
      <w:b/>
      <w:bCs/>
      <w:color w:val="1F3864"/>
      <w:sz w:val="32"/>
      <w:szCs w:val="32"/>
    </w:rPr>
  </w:style>
  <w:style w:type="paragraph" w:styleId="Heading2">
    <w:name w:val="Heading 2"/>
    <w:basedOn w:val="Normal"/>
    <w:next w:val="Normal"/>
    <w:qFormat/>
    <w:pPr>
      <w:spacing w:after="150" w:before="300"/>
    </w:pPr>
    <w:rPr>
      <w:rFonts w:ascii="Calibri" w:cs="Calibri" w:eastAsia="Calibri" w:hAnsi="Calibri"/>
      <w:b/>
      <w:bCs/>
      <w:color w:val="2E5C8A"/>
      <w:sz w:val="26"/>
      <w:szCs w:val="26"/>
    </w:rPr>
  </w:style>
  <w:style w:type="paragraph" w:styleId="Heading3">
    <w:name w:val="Heading 3"/>
    <w:basedOn w:val="Normal"/>
    <w:next w:val="Normal"/>
    <w:qFormat/>
    <w:pPr>
      <w:spacing w:after="100" w:before="200"/>
    </w:pPr>
    <w:rPr>
      <w:rFonts w:ascii="Calibri" w:cs="Calibri" w:eastAsia="Calibri" w:hAnsi="Calibri"/>
      <w:b/>
      <w:bCs/>
      <w:color w:val="3E6DA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2026-08-17T07:04:54.848Z</dcterms:created>
  <dcterms:modified xsi:type="dcterms:W3CDTF">2026-08-17T07:04:54.848Z</dcterms:modified>
</cp:coreProperties>
</file>

<file path=docProps/custom.xml><?xml version="1.0" encoding="utf-8"?>
<Properties xmlns="http://schemas.openxmlformats.org/officeDocument/2006/custom-properties" xmlns:vt="http://schemas.openxmlformats.org/officeDocument/2006/docPropsVTypes"/>
</file>