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CRACKLAW DATA MANAGEMENT GUIDELINES</w:t>
      </w:r>
    </w:p>
    <w:p>
      <w:r>
        <w:t>This document outlines guidelines for raw data collection and ingestion.</w:t>
      </w:r>
      <w:r>
        <w:rPr>
          <w:b/>
        </w:rPr>
        <w:t xml:space="preserve"> These guidelines apply to all developers working on CrackLaw AI backend systems.</w:t>
      </w:r>
    </w:p>
    <w:p>
      <w:pPr>
        <w:pStyle w:val="Heading1"/>
      </w:pPr>
      <w:r>
        <w:t>1. Ingestion Requirements</w:t>
      </w:r>
    </w:p>
    <w:p>
      <w:r>
        <w:t>All files must undergo integrity check (MD5 or SHA-256).</w:t>
      </w:r>
    </w:p>
    <w:p>
      <w:pPr>
        <w:pStyle w:val="Heading1"/>
      </w:pPr>
      <w:r>
        <w:t>2. Chunking Requirements</w:t>
      </w:r>
    </w:p>
    <w:p>
      <w:r>
        <w:t>Documents should be chunked by Act, Chapter, or Section when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