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实践一：RC电路分析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Jmfxo" w:id="0"/>
      <w:r>
        <w:rPr>
          <w:rFonts w:ascii="宋体" w:hAnsi="Times New Roman" w:eastAsia="宋体"/>
        </w:rPr>
        <w:t>代码块（AI）</w:t>
      </w:r>
    </w:p>
    <w:bookmarkEnd w:id="0"/>
    <w:bookmarkStart w:name="uqQ4T" w:id="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% 参数设置</w:t>
        <w:br/>
        <w:t>R = 100;    % 电阻（Ohm）</w:t>
        <w:br/>
        <w:t>C = 1e-6;   % 电容（F）</w:t>
        <w:br/>
        <w:t>V0 = 5;     % 电源电压（V）</w:t>
        <w:br/>
        <w:t>tspan = [0, 0.01]; % 仿真时间</w:t>
        <w:br/>
        <w:t/>
        <w:br/>
        <w:t>% 定义微分方程</w:t>
        <w:br/>
        <w:t>f = @(t, Vc) (1/(R*C)) * (V0 - Vc);</w:t>
        <w:br/>
        <w:t/>
        <w:br/>
        <w:t>% 使用ode45求解</w:t>
        <w:br/>
        <w:t>[t, Vc] = ode45(f, tspan, 0); % 初始电容电压为0</w:t>
        <w:br/>
        <w:t/>
        <w:br/>
        <w:t>% 绘制结果</w:t>
        <w:br/>
        <w:t>plot(t, Vc, 'LineWidth', 2);</w:t>
        <w:br/>
        <w:t>xlabel('Time (s)');</w:t>
        <w:br/>
        <w:t>ylabel('Capacitor Voltage');</w:t>
        <w:br/>
        <w:t>title('RC Circuit Step Response (ODE45)');</w:t>
        <w:br/>
        <w:t>grid on;</w:t>
        <w:br/>
        <w:t/>
        <w:br/>
      </w:r>
    </w:p>
    <w:bookmarkEnd w:id="1"/>
    <w:bookmarkStart w:name="uf578f44d" w:id="2"/>
    <w:bookmarkEnd w:id="2"/>
    <w:bookmarkStart w:name="xyyRV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代码分析</w:t>
      </w:r>
    </w:p>
    <w:bookmarkEnd w:id="3"/>
    <w:bookmarkStart w:name="uff594b79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数学建模</w:t>
      </w:r>
    </w:p>
    <w:bookmarkEnd w:id="4"/>
    <w:bookmarkStart w:name="u365f59aa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Q=CU-&gt;U=Q/C，Q等于电流对时间积分</w:t>
      </w:r>
    </w:p>
    <w:bookmarkEnd w:id="5"/>
    <w:bookmarkStart w:name="u77d9f6fa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所以</w:t>
      </w:r>
      <w:bookmarkStart w:name="uaa14b40f" w:id="7"/>
      <w:r>
        <w:rPr>
          <w:rFonts w:eastAsia="宋体" w:ascii="宋体"/>
        </w:rPr>
        <w:drawing>
          <wp:inline distT="0" distB="0" distL="0" distR="0">
            <wp:extent cx="694267" cy="4261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4267" cy="42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  <w:r>
        <w:rPr>
          <w:rFonts w:ascii="宋体" w:hAnsi="Times New Roman" w:eastAsia="宋体"/>
          <w:b w:val="false"/>
          <w:i w:val="false"/>
          <w:color w:val="000000"/>
          <w:sz w:val="22"/>
        </w:rPr>
        <w:t>又电容电阻串联</w:t>
      </w:r>
    </w:p>
    <w:bookmarkEnd w:id="6"/>
    <w:bookmarkStart w:name="u73e7e386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所以RI+Vc=V0</w:t>
      </w:r>
    </w:p>
    <w:bookmarkEnd w:id="8"/>
    <w:bookmarkStart w:name="u271d0466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带入即可</w:t>
      </w:r>
    </w:p>
    <w:bookmarkEnd w:id="9"/>
    <w:bookmarkStart w:name="ua7973f72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代码学习</w:t>
      </w:r>
    </w:p>
    <w:bookmarkEnd w:id="10"/>
    <w:bookmarkStart w:name="8da3f55f" w:id="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4292f"/>
        </w:rPr>
        <w:t>语法结构：匿名函数定义</w:t>
      </w:r>
    </w:p>
    <w:bookmarkEnd w:id="11"/>
    <w:bookmarkStart w:name="u24bca334" w:id="1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24292f"/>
          <w:sz w:val="21"/>
        </w:rPr>
        <w:t>@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符号是MATLAB中定义</w:t>
      </w:r>
      <w:r>
        <w:rPr>
          <w:rFonts w:ascii="宋体" w:hAnsi="Times New Roman" w:eastAsia="宋体"/>
          <w:b/>
          <w:i w:val="false"/>
          <w:color w:val="24292f"/>
          <w:sz w:val="24"/>
        </w:rPr>
        <w:t>函数句柄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的关键标识，它告知MATLAB后续内容是一个函数定义。</w:t>
      </w:r>
    </w:p>
    <w:bookmarkEnd w:id="12"/>
    <w:bookmarkStart w:name="uf87eb79d" w:id="1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24292f"/>
          <w:sz w:val="21"/>
        </w:rPr>
        <w:t>(t, Vc)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指定了函数的输入参数列表，这里有两个输入变量：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t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和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Vc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。这些参数在调用函数时需由用户提供具体值。</w:t>
      </w:r>
    </w:p>
    <w:bookmarkEnd w:id="13"/>
    <w:bookmarkStart w:name="uf6d9e342" w:id="1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24292f"/>
          <w:sz w:val="21"/>
        </w:rPr>
        <w:t>(1/(R*C)) * (V0 - Vc)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是函数的主体表达式，定义了基于输入参数的输出计算逻辑</w:t>
      </w:r>
    </w:p>
    <w:bookmarkEnd w:id="14"/>
    <w:bookmarkStart w:name="ubbec9b4c" w:id="15"/>
    <w:bookmarkEnd w:id="15"/>
    <w:bookmarkStart w:name="Lnbja" w:id="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4292f"/>
        </w:rPr>
        <w:t>ode45核心功能</w:t>
      </w:r>
    </w:p>
    <w:bookmarkEnd w:id="16"/>
    <w:bookmarkStart w:name="ue39b0c94" w:id="1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24292f"/>
          <w:sz w:val="21"/>
        </w:rPr>
        <w:t>ode45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是 MATLAB 中用于求解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/>
          <w:i w:val="false"/>
          <w:color w:val="24292f"/>
          <w:sz w:val="24"/>
        </w:rPr>
        <w:t>非刚性常微分方程（ODE）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的数值积分器，采用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/>
          <w:i w:val="false"/>
          <w:color w:val="24292f"/>
          <w:sz w:val="24"/>
        </w:rPr>
        <w:t>4阶和5阶Runge-Kutta算法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（自适应变步长）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。</w:t>
      </w:r>
    </w:p>
    <w:bookmarkEnd w:id="17"/>
    <w:bookmarkStart w:name="u82629457" w:id="1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该代码求解初值问题：</w:t>
      </w:r>
    </w:p>
    <w:bookmarkEnd w:id="18"/>
    <w:bookmarkStart w:name="ud9970aae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其中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是用户定义的导数函数，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是待求解的变量向量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。</w:t>
      </w:r>
    </w:p>
    <w:bookmarkEnd w:id="19"/>
    <w:bookmarkStart w:name="u0266a3c1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2"/>
        </w:rPr>
        <w:t>输入参数详解</w:t>
      </w:r>
    </w:p>
    <w:bookmarkEnd w:id="20"/>
    <w:bookmarkStart w:name="u35ed392c" w:id="2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/>
          <w:i w:val="false"/>
          <w:color w:val="24292f"/>
          <w:sz w:val="21"/>
        </w:rPr>
        <w:t>f</w:t>
      </w:r>
      <w:r>
        <w:rPr>
          <w:rFonts w:ascii="宋体" w:hAnsi="Times New Roman" w:eastAsia="宋体"/>
          <w:b/>
          <w:i w:val="false"/>
          <w:color w:val="24292f"/>
          <w:sz w:val="24"/>
        </w:rPr>
        <w:t>（函数句柄）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用户定义的导数函数，格式必须为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f(t, Vc)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，其中：</w:t>
      </w:r>
    </w:p>
    <w:bookmarkEnd w:id="21"/>
    <w:bookmarkStart w:name="uabfbab57" w:id="22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24292f"/>
          <w:sz w:val="21"/>
        </w:rPr>
        <w:t>t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：当前时间（标量）</w:t>
      </w:r>
    </w:p>
    <w:bookmarkEnd w:id="22"/>
    <w:bookmarkStart w:name="u69fcc887" w:id="23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24292f"/>
          <w:sz w:val="21"/>
        </w:rPr>
        <w:t>Vc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：当前状态变量（列向量）</w:t>
      </w:r>
    </w:p>
    <w:bookmarkEnd w:id="23"/>
    <w:bookmarkStart w:name="uc7940d9e" w:id="24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返回值：导数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（列向量），长度需与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Vc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一致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。</w:t>
      </w:r>
      <w:r>
        <w:rPr>
          <w:rFonts w:ascii="宋体" w:hAnsi="Times New Roman" w:eastAsia="宋体"/>
          <w:b w:val="false"/>
          <w:i/>
          <w:color w:val="000000"/>
          <w:sz w:val="24"/>
        </w:rPr>
        <w:t>示例：若求解电路电容电压</w:t>
      </w:r>
      <w:r>
        <w:rPr>
          <w:rFonts w:ascii="宋体" w:hAnsi="Times New Roman" w:eastAsia="宋体"/>
          <w:b w:val="false"/>
          <w:i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/>
          <w:color w:val="000000"/>
          <w:sz w:val="24"/>
        </w:rPr>
        <w:t>，则</w:t>
      </w:r>
      <w:r>
        <w:rPr>
          <w:rFonts w:ascii="宋体" w:hAnsi="Times New Roman" w:eastAsia="宋体"/>
          <w:b w:val="false"/>
          <w:i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/>
          <w:color w:val="000000"/>
          <w:sz w:val="21"/>
        </w:rPr>
        <w:t>f</w:t>
      </w:r>
      <w:r>
        <w:rPr>
          <w:rFonts w:ascii="宋体" w:hAnsi="Times New Roman" w:eastAsia="宋体"/>
          <w:b w:val="false"/>
          <w:i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/>
          <w:color w:val="000000"/>
          <w:sz w:val="24"/>
        </w:rPr>
        <w:t>应定义</w:t>
      </w:r>
      <w:r>
        <w:rPr>
          <w:rFonts w:ascii="宋体" w:hAnsi="Times New Roman" w:eastAsia="宋体"/>
          <w:b w:val="false"/>
          <w:i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/>
          <w:color w:val="000000"/>
          <w:sz w:val="24"/>
        </w:rPr>
        <w:t>的关系</w:t>
      </w:r>
      <w:r>
        <w:rPr>
          <w:rFonts w:ascii="宋体" w:hAnsi="Times New Roman" w:eastAsia="宋体"/>
          <w:b w:val="false"/>
          <w:i/>
          <w:color w:val="000000"/>
          <w:sz w:val="24"/>
        </w:rPr>
        <w:t>。</w:t>
      </w:r>
    </w:p>
    <w:bookmarkEnd w:id="24"/>
    <w:bookmarkStart w:name="u5d3b0cfb" w:id="2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/>
          <w:i w:val="false"/>
          <w:color w:val="24292f"/>
          <w:sz w:val="21"/>
        </w:rPr>
        <w:t>tspan</w:t>
      </w:r>
      <w:r>
        <w:rPr>
          <w:rFonts w:ascii="宋体" w:hAnsi="Times New Roman" w:eastAsia="宋体"/>
          <w:b/>
          <w:i w:val="false"/>
          <w:color w:val="24292f"/>
          <w:sz w:val="24"/>
        </w:rPr>
        <w:t>（时间范围）</w:t>
      </w:r>
    </w:p>
    <w:bookmarkEnd w:id="25"/>
    <w:bookmarkStart w:name="u9b6a0e07" w:id="26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若为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Courier New" w:eastAsia="宋体"/>
          <w:b/>
          <w:i w:val="false"/>
          <w:color w:val="24292f"/>
          <w:sz w:val="21"/>
        </w:rPr>
        <w:t>[t0, tf]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（二元向量）：积分器自动选择步长从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t0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到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tf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，返回的解对应内部计算的时间点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。</w:t>
      </w:r>
    </w:p>
    <w:bookmarkEnd w:id="26"/>
    <w:bookmarkStart w:name="u5f1fcd81" w:id="27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若为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</w:t>
      </w:r>
      <w:r>
        <w:rPr>
          <w:rFonts w:ascii="宋体" w:hAnsi="Courier New" w:eastAsia="宋体"/>
          <w:b/>
          <w:i w:val="false"/>
          <w:color w:val="24292f"/>
          <w:sz w:val="21"/>
        </w:rPr>
        <w:t>[t0, t1, ..., tf]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（多元向量）：返回的解将插值到这些指定时间点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。</w:t>
      </w:r>
      <w:r>
        <w:rPr>
          <w:rFonts w:ascii="宋体" w:hAnsi="Times New Roman" w:eastAsia="宋体"/>
          <w:b w:val="false"/>
          <w:i/>
          <w:color w:val="000000"/>
          <w:sz w:val="24"/>
        </w:rPr>
        <w:t>注意：时间点必须单调递增或递减</w:t>
      </w:r>
      <w:r>
        <w:rPr>
          <w:rFonts w:ascii="宋体" w:hAnsi="Times New Roman" w:eastAsia="宋体"/>
          <w:b w:val="false"/>
          <w:i/>
          <w:color w:val="000000"/>
          <w:sz w:val="24"/>
        </w:rPr>
        <w:t>。</w:t>
      </w:r>
    </w:p>
    <w:bookmarkEnd w:id="27"/>
    <w:bookmarkStart w:name="ud22e7f1a" w:id="2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/>
          <w:i w:val="false"/>
          <w:color w:val="24292f"/>
          <w:sz w:val="21"/>
        </w:rPr>
        <w:t>0</w:t>
      </w:r>
      <w:r>
        <w:rPr>
          <w:rFonts w:ascii="宋体" w:hAnsi="Times New Roman" w:eastAsia="宋体"/>
          <w:b/>
          <w:i w:val="false"/>
          <w:color w:val="24292f"/>
          <w:sz w:val="24"/>
        </w:rPr>
        <w:t>（初始条件）</w:t>
      </w:r>
    </w:p>
    <w:bookmarkEnd w:id="28"/>
    <w:bookmarkStart w:name="uc042b3fe" w:id="29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表示状态变量 在 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tspan(1)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时刻的初值为 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0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（标量或列向量）。</w:t>
      </w:r>
      <w:r>
        <w:rPr>
          <w:rFonts w:ascii="宋体" w:hAnsi="Times New Roman" w:eastAsia="宋体"/>
          <w:b w:val="false"/>
          <w:i/>
          <w:color w:val="000000"/>
          <w:sz w:val="24"/>
        </w:rPr>
        <w:t xml:space="preserve">若为多变量系统（如二阶ODE），需改为向量（如 </w:t>
      </w:r>
      <w:r>
        <w:rPr>
          <w:rFonts w:ascii="宋体" w:hAnsi="Courier New" w:eastAsia="宋体"/>
          <w:b w:val="false"/>
          <w:i/>
          <w:color w:val="000000"/>
          <w:sz w:val="21"/>
        </w:rPr>
        <w:t>[0; 0]</w:t>
      </w:r>
      <w:r>
        <w:rPr>
          <w:rFonts w:ascii="宋体" w:hAnsi="Times New Roman" w:eastAsia="宋体"/>
          <w:b w:val="false"/>
          <w:i/>
          <w:color w:val="000000"/>
          <w:sz w:val="24"/>
        </w:rPr>
        <w:t>）。</w:t>
      </w:r>
    </w:p>
    <w:bookmarkEnd w:id="29"/>
    <w:bookmarkStart w:name="ub17d0a4d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33"/>
        </w:rPr>
        <w:t>plot(t, Vc, 'LineWidth', 2);解释</w:t>
      </w:r>
    </w:p>
    <w:bookmarkEnd w:id="30"/>
    <w:bookmarkStart w:name="u6d2dc7b7" w:id="3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/>
          <w:i w:val="false"/>
          <w:color w:val="24292f"/>
          <w:sz w:val="21"/>
        </w:rPr>
        <w:t>'LineWidth', 2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</w:t>
      </w:r>
    </w:p>
    <w:bookmarkEnd w:id="31"/>
    <w:bookmarkStart w:name="u7d95a932" w:id="3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线条粗细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：设置曲线宽度为 </w:t>
      </w:r>
      <w:r>
        <w:rPr>
          <w:rFonts w:ascii="宋体" w:hAnsi="Times New Roman" w:eastAsia="宋体"/>
          <w:b/>
          <w:i w:val="false"/>
          <w:color w:val="24292f"/>
          <w:sz w:val="24"/>
        </w:rPr>
        <w:t>2 个像素</w:t>
      </w:r>
    </w:p>
    <w:bookmarkEnd w:id="32"/>
    <w:bookmarkStart w:name="ufcecb880" w:id="33"/>
    <w:bookmarkEnd w:id="33"/>
    <w:bookmarkStart w:name="o01mx" w:id="3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仿真效果</w:t>
      </w:r>
    </w:p>
    <w:bookmarkEnd w:id="34"/>
    <w:bookmarkStart w:name="uc3dd98bc" w:id="35"/>
    <w:p>
      <w:pPr>
        <w:spacing w:after="50" w:line="360" w:lineRule="auto" w:beforeLines="100"/>
        <w:ind w:left="0"/>
        <w:jc w:val="left"/>
      </w:pPr>
      <w:bookmarkStart w:name="ubdd023c5" w:id="36"/>
      <w:r>
        <w:rPr>
          <w:rFonts w:eastAsia="宋体" w:ascii="宋体"/>
        </w:rPr>
        <w:drawing>
          <wp:inline distT="0" distB="0" distL="0" distR="0">
            <wp:extent cx="5842000" cy="310775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06667" cy="585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5"/>
    <w:bookmarkStart w:name="uf890e041" w:id="37"/>
    <w:bookmarkEnd w:id="37"/>
    <w:bookmarkStart w:name="SuD4N" w:id="3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电路搭建</w:t>
      </w:r>
    </w:p>
    <w:bookmarkEnd w:id="38"/>
    <w:bookmarkStart w:name="uc884a346" w:id="39"/>
    <w:p>
      <w:pPr>
        <w:spacing w:after="50" w:line="360" w:lineRule="auto" w:beforeLines="100"/>
        <w:ind w:left="0"/>
        <w:jc w:val="left"/>
      </w:pPr>
      <w:bookmarkStart w:name="u8c20d9f1" w:id="40"/>
      <w:r>
        <w:rPr>
          <w:rFonts w:eastAsia="宋体" w:ascii="宋体"/>
        </w:rPr>
        <w:drawing>
          <wp:inline distT="0" distB="0" distL="0" distR="0">
            <wp:extent cx="5842000" cy="23073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53866" cy="30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bookmarkEnd w:id="39"/>
    <w:bookmarkStart w:name="bmv0d" w:id="4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仿真效果</w:t>
      </w:r>
    </w:p>
    <w:bookmarkEnd w:id="41"/>
    <w:bookmarkStart w:name="uce3b551c" w:id="42"/>
    <w:p>
      <w:pPr>
        <w:spacing w:after="50" w:line="360" w:lineRule="auto" w:beforeLines="100"/>
        <w:ind w:left="0"/>
        <w:jc w:val="left"/>
      </w:pPr>
      <w:bookmarkStart w:name="u85c1538b" w:id="43"/>
      <w:r>
        <w:rPr>
          <w:rFonts w:eastAsia="宋体" w:ascii="宋体"/>
        </w:rPr>
        <w:drawing>
          <wp:inline distT="0" distB="0" distL="0" distR="0">
            <wp:extent cx="5841999" cy="30084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75733" cy="68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bookmarkEnd w:id="42"/>
    <w:bookmarkStart w:name="aRd3m" w:id="4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总结</w:t>
      </w:r>
    </w:p>
    <w:bookmarkEnd w:id="44"/>
    <w:bookmarkStart w:name="u016369f5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两者图像符合的很好</w:t>
      </w:r>
    </w:p>
    <w:bookmarkEnd w:id="45"/>
    <w:bookmarkStart w:name="u18d7c8b5" w:id="46"/>
    <w:bookmarkEnd w:id="46"/>
    <w:bookmarkStart w:name="u86d04a8a" w:id="47"/>
    <w:bookmarkEnd w:id="4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