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实践二：开环Buck变换器建模与波形观测</w:t>
      </w:r>
    </w:p>
    <w:p>
      <w:pPr>
        <w:spacing w:after="50" w:line="360" w:lineRule="auto" w:beforeLines="100"/>
        <w:ind w:left="0"/>
        <w:jc w:val="left"/>
      </w:pPr>
      <w:bookmarkStart w:name="ua36d1bb9" w:id="0"/>
      <w:bookmarkStart w:name="LaMAN" w:id="1"/>
      <w:r>
        <w:rPr>
          <w:rFonts w:eastAsia="宋体" w:ascii="宋体"/>
        </w:rPr>
        <w:drawing>
          <wp:inline distT="0" distB="0" distL="0" distR="0">
            <wp:extent cx="5842000" cy="46953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bookmarkEnd w:id="0"/>
    <w:bookmarkStart w:name="ua6a5070e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输出电压与等于输入电压乘以占空比</w:t>
      </w:r>
    </w:p>
    <w:bookmarkEnd w:id="2"/>
    <w:bookmarkStart w:name="kQ3DQ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代码</w:t>
      </w:r>
    </w:p>
    <w:bookmarkEnd w:id="3"/>
    <w:bookmarkStart w:name="Mh7kA" w:id="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代码块</w:t>
      </w:r>
    </w:p>
    <w:bookmarkEnd w:id="4"/>
    <w:bookmarkStart w:name="ucddbb8a1" w:id="5"/>
    <w:bookmarkEnd w:id="5"/>
    <w:bookmarkStart w:name="x3QVE" w:id="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%% 开环Buck变换器建模与仿真</w:t>
        <w:br/>
        <w:t>% 参考证据：数学模型[[20]]，Simulink建模[[10,4]]，参数设置[[2,6]]，波形观测[[2,15]]</w:t>
        <w:br/>
        <w:t/>
        <w:br/>
        <w:t>%% 1. 参数定义与初始化</w:t>
        <w:br/>
        <w:t>clear all; close all; clc;</w:t>
        <w:br/>
        <w:t/>
        <w:br/>
        <w:t>% Buck变换器基本参数（可修改）</w:t>
        <w:br/>
        <w:t>V_in = 24;      % 输入电压 (V) [[10]]</w:t>
        <w:br/>
        <w:t>D = 0.5;         % 占空比 (开环固定) [[6]]</w:t>
        <w:br/>
        <w:t>L = 100e-6;      % 电感 (H) [[6]]</w:t>
        <w:br/>
        <w:t>C = 100e-6;      % 电容 (F) [[6]]</w:t>
        <w:br/>
        <w:t>R = 10;          % 负载电阻 (Ohm) [[6]]</w:t>
        <w:br/>
        <w:t>fs = 20e3;       % 开关频率 (Hz) [[6]]</w:t>
        <w:br/>
        <w:t>freq = 1000;     % PWM载波频率 (Hz) [[11]]</w:t>
        <w:br/>
        <w:t>t_sim = 0.1;     % 仿真时间 (s) [[11]]</w:t>
        <w:br/>
        <w:t/>
        <w:br/>
        <w:t>% 初始条件</w:t>
        <w:br/>
        <w:t>iL0 = 0;         % 初始电感电流 (A)</w:t>
        <w:br/>
        <w:t>Vo0 = 0;         % 初始输出电压 (V)</w:t>
        <w:br/>
        <w:t/>
        <w:br/>
        <w:t>%% 2. 数学模型仿真 - 基于状态空间平均法[[20]]</w:t>
        <w:br/>
        <w:t>% 微分方程：diL/dt = (D*V_in - Vo)/L, dVo/dt = (iL - Vo/R)/C</w:t>
        <w:br/>
        <w:t>fprintf('开始数学模型仿真...\n');</w:t>
        <w:br/>
        <w:t>buck_ode = @(t,x) [ (D*V_in - x(2)) / L;   % diL/dt</w:t>
        <w:br/>
        <w:t xml:space="preserve">                    (x(1) - x(2)/R) / C ]; % dVo/dt</w:t>
        <w:br/>
        <w:t/>
        <w:br/>
        <w:t>% 求解ODE[[12]]</w:t>
        <w:br/>
        <w:t>[t_ode, x] = ode45(buck_ode, [0 t_sim], [iL0; Vo0]);</w:t>
        <w:br/>
        <w:t>iL_ode = x(:,1);  % 电感电流</w:t>
        <w:br/>
        <w:t>Vo_ode = x(:,2);  % 输出电压</w:t>
        <w:br/>
        <w:t/>
        <w:br/>
        <w:t>% 绘制数学模型波形[[15]]</w:t>
        <w:br/>
        <w:t>figure;</w:t>
        <w:br/>
        <w:t>subplot(2,1,1);</w:t>
        <w:br/>
        <w:t>plot(t_ode, iL_ode, 'LineWidth', 1.5);</w:t>
        <w:br/>
        <w:t>title('数学模型 - 电感电流');</w:t>
        <w:br/>
        <w:t>xlabel('时间 (s)'); ylabel('电流 (A)'); grid on;</w:t>
        <w:br/>
        <w:t/>
        <w:br/>
        <w:t>subplot(2,1,2);</w:t>
        <w:br/>
        <w:t>plot(t_ode, Vo_ode, 'LineWidth', 1.5);</w:t>
        <w:br/>
        <w:t>title('数学模型 - 输出电压');</w:t>
        <w:br/>
        <w:t>xlabel('时间 (s)'); ylabel('电压 (V)'); grid on;</w:t>
        <w:br/>
        <w:t>sgtitle('开环Buck变换器数学模型仿真结果[[20]]');</w:t>
        <w:br/>
      </w:r>
    </w:p>
    <w:bookmarkEnd w:id="6"/>
    <w:bookmarkStart w:name="u38d43e3f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需要注意，此时设定的开关频率和载波时间并没有用到</w:t>
      </w:r>
    </w:p>
    <w:bookmarkEnd w:id="7"/>
    <w:bookmarkStart w:name="ua8b92375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状态空间平均法使用了</w:t>
      </w:r>
      <w:r>
        <w:rPr>
          <w:rFonts w:ascii="宋体" w:hAnsi="Times New Roman" w:eastAsia="宋体"/>
          <w:b/>
          <w:i w:val="false"/>
          <w:color w:val="24292f"/>
          <w:sz w:val="24"/>
        </w:rPr>
        <w:t>连续平均模型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，直接通过占空比D计算平均电压，无需显式开关动作。</w:t>
      </w:r>
    </w:p>
    <w:bookmarkEnd w:id="8"/>
    <w:bookmarkStart w:name="u6b64ae78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微分方程：</w:t>
      </w:r>
      <w:r>
        <w:rPr>
          <w:rFonts w:ascii="宋体" w:hAnsi="Courier New" w:eastAsia="宋体"/>
          <w:b w:val="false"/>
          <w:i w:val="false"/>
          <w:color w:val="24292f"/>
          <w:sz w:val="21"/>
        </w:rPr>
        <w:t>diL/dt = (D*V_in - Vo)/L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已隐含开关频率的影响（通过D值体现）。</w:t>
      </w:r>
    </w:p>
    <w:bookmarkEnd w:id="9"/>
    <w:bookmarkStart w:name="u8771df2e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该模型无法呈现开关频率引起的纹波细节</w:t>
      </w:r>
    </w:p>
    <w:bookmarkEnd w:id="10"/>
    <w:bookmarkStart w:name="GeX8S" w:id="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数学公式推导</w:t>
      </w:r>
    </w:p>
    <w:bookmarkEnd w:id="11"/>
    <w:bookmarkStart w:name="ua7033ba6" w:id="12"/>
    <w:p>
      <w:pPr>
        <w:spacing w:after="50" w:line="360" w:lineRule="auto" w:beforeLines="100"/>
        <w:ind w:left="0"/>
        <w:jc w:val="left"/>
      </w:pPr>
      <w:bookmarkStart w:name="ucf14ae67" w:id="13"/>
      <w:r>
        <w:rPr>
          <w:rFonts w:eastAsia="宋体" w:ascii="宋体"/>
        </w:rPr>
        <w:drawing>
          <wp:inline distT="0" distB="0" distL="0" distR="0">
            <wp:extent cx="5723466" cy="47347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466" cy="47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u238bba4c" w:id="14"/>
    <w:p>
      <w:pPr>
        <w:spacing w:after="50" w:line="360" w:lineRule="auto" w:beforeLines="100"/>
        <w:ind w:left="0"/>
        <w:jc w:val="left"/>
      </w:pPr>
      <w:bookmarkStart w:name="u07ffb483" w:id="15"/>
      <w:r>
        <w:rPr>
          <w:rFonts w:eastAsia="宋体" w:ascii="宋体"/>
        </w:rPr>
        <w:drawing>
          <wp:inline distT="0" distB="0" distL="0" distR="0">
            <wp:extent cx="4622800" cy="37797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ucced2a4f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第一个推导没太看懂，我理解为电感元件u = L*(di/dt)</w:t>
      </w:r>
    </w:p>
    <w:bookmarkEnd w:id="16"/>
    <w:bookmarkStart w:name="ude583bc2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刚启动时，u为输入电压(D*Vin - Vo),带入即可</w:t>
      </w:r>
    </w:p>
    <w:bookmarkEnd w:id="17"/>
    <w:bookmarkStart w:name="uf02c2783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第二个方程注意运用KCL方程</w:t>
      </w:r>
    </w:p>
    <w:bookmarkEnd w:id="18"/>
    <w:bookmarkStart w:name="PPkMb" w:id="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代码学习</w:t>
      </w:r>
    </w:p>
    <w:bookmarkEnd w:id="19"/>
    <w:bookmarkStart w:name="u9af05209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首先定义所需变量值，规定初始变量值</w:t>
      </w:r>
    </w:p>
    <w:bookmarkEnd w:id="20"/>
    <w:bookmarkStart w:name="u7556ad31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如下，x(1),x(2)对应</w:t>
      </w:r>
      <w:r>
        <w:rPr>
          <w:rFonts w:ascii="宋体" w:hAnsi="Times New Roman" w:eastAsia="宋体"/>
          <w:b w:val="false"/>
          <w:i w:val="false"/>
          <w:color w:val="24292f"/>
          <w:sz w:val="24"/>
          <w:shd w:fill="fbde28"/>
        </w:rPr>
        <w:t xml:space="preserve">状态变量矩阵 X，所以在下面赋值的时候X矩阵第一列对应X（1），第二列对应x(2) </w:t>
      </w:r>
    </w:p>
    <w:bookmarkEnd w:id="21"/>
    <w:bookmarkStart w:name="u5575146e" w:id="22"/>
    <w:p>
      <w:pPr>
        <w:spacing w:after="50" w:line="360" w:lineRule="auto" w:beforeLines="100"/>
        <w:ind w:left="0"/>
        <w:jc w:val="left"/>
      </w:pPr>
      <w:bookmarkStart w:name="udd1ccd16" w:id="23"/>
      <w:r>
        <w:rPr>
          <w:rFonts w:eastAsia="宋体" w:ascii="宋体"/>
        </w:rPr>
        <w:drawing>
          <wp:inline distT="0" distB="0" distL="0" distR="0">
            <wp:extent cx="4097867" cy="16860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867" cy="168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u1e0ef59d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subplot(2,1,1);</w:t>
      </w:r>
    </w:p>
    <w:bookmarkEnd w:id="24"/>
    <w:bookmarkStart w:name="u69b28336" w:id="25"/>
    <w:p>
      <w:pPr>
        <w:spacing w:after="50" w:line="360" w:lineRule="auto" w:beforeLines="100"/>
        <w:ind w:left="0"/>
        <w:jc w:val="left"/>
      </w:pPr>
      <w:bookmarkStart w:name="u5dd00bdf" w:id="26"/>
      <w:r>
        <w:rPr>
          <w:rFonts w:eastAsia="宋体" w:ascii="宋体"/>
        </w:rPr>
        <w:drawing>
          <wp:inline distT="0" distB="0" distL="0" distR="0">
            <wp:extent cx="5537200" cy="19353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93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bookmarkEnd w:id="25"/>
    <w:bookmarkStart w:name="NotZT" w:id="2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simulink仿真</w:t>
      </w:r>
    </w:p>
    <w:bookmarkEnd w:id="27"/>
    <w:bookmarkStart w:name="u4b2d21a9" w:id="28"/>
    <w:bookmarkEnd w:id="28"/>
    <w:bookmarkStart w:name="ue2f1f8bb" w:id="29"/>
    <w:bookmarkEnd w:id="29"/>
    <w:bookmarkStart w:name="u5173797c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出现锯齿状波形</w:t>
      </w:r>
    </w:p>
    <w:bookmarkEnd w:id="30"/>
    <w:bookmarkStart w:name="u3bea0101" w:id="31"/>
    <w:p>
      <w:pPr>
        <w:spacing w:after="50" w:line="360" w:lineRule="auto" w:beforeLines="100"/>
        <w:ind w:left="0"/>
        <w:jc w:val="left"/>
      </w:pPr>
      <w:bookmarkStart w:name="ubf7f46b9" w:id="32"/>
      <w:r>
        <w:rPr>
          <w:rFonts w:eastAsia="宋体" w:ascii="宋体"/>
        </w:rPr>
        <w:drawing>
          <wp:inline distT="0" distB="0" distL="0" distR="0">
            <wp:extent cx="3234267" cy="57974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4267" cy="579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bookmarkEnd w:id="31"/>
    <w:bookmarkStart w:name="ud711106a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缩短采样时间</w:t>
      </w:r>
    </w:p>
    <w:bookmarkEnd w:id="33"/>
    <w:bookmarkStart w:name="u355dc56d" w:id="34"/>
    <w:p>
      <w:pPr>
        <w:spacing w:after="50" w:line="360" w:lineRule="auto" w:beforeLines="100"/>
        <w:ind w:left="0"/>
        <w:jc w:val="left"/>
      </w:pPr>
      <w:bookmarkStart w:name="ufd8908e6" w:id="35"/>
      <w:r>
        <w:rPr>
          <w:rFonts w:eastAsia="宋体" w:ascii="宋体"/>
        </w:rPr>
        <w:drawing>
          <wp:inline distT="0" distB="0" distL="0" distR="0">
            <wp:extent cx="5842000" cy="329471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5466" cy="50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bookmarkEnd w:id="34"/>
    <w:bookmarkStart w:name="u3bf45394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再次缩短，</w:t>
      </w: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理论输出24V*D=24*0.5=12V，而只输出了11.5V</w:t>
      </w:r>
    </w:p>
    <w:bookmarkEnd w:id="36"/>
    <w:bookmarkStart w:name="ueb7bddc8" w:id="37"/>
    <w:p>
      <w:pPr>
        <w:spacing w:after="50" w:line="360" w:lineRule="auto" w:beforeLines="100"/>
        <w:ind w:left="0"/>
        <w:jc w:val="left"/>
      </w:pPr>
      <w:bookmarkStart w:name="u622bdd59" w:id="38"/>
      <w:r>
        <w:rPr>
          <w:rFonts w:eastAsia="宋体" w:ascii="宋体"/>
        </w:rPr>
        <w:drawing>
          <wp:inline distT="0" distB="0" distL="0" distR="0">
            <wp:extent cx="5841999" cy="290911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81733" cy="52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bookmarkEnd w:id="37"/>
    <w:bookmarkStart w:name="u0297b662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为什么纹波抑制效果比数学模型仿真出来的好呢？实际输出电压比数学模型低0.5v左右呢？</w:t>
      </w:r>
    </w:p>
    <w:bookmarkEnd w:id="39"/>
    <w:bookmarkStart w:name="ufbd29be3" w:id="40"/>
    <w:p>
      <w:pPr>
        <w:spacing w:after="50" w:line="360" w:lineRule="auto" w:beforeLines="100"/>
        <w:ind w:left="0"/>
        <w:jc w:val="left"/>
      </w:pPr>
      <w:bookmarkStart w:name="u35a0e403" w:id="41"/>
      <w:r>
        <w:rPr>
          <w:rFonts w:eastAsia="宋体" w:ascii="宋体"/>
        </w:rPr>
        <w:drawing>
          <wp:inline distT="0" distB="0" distL="0" distR="0">
            <wp:extent cx="5841999" cy="265212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75733" cy="602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bookmarkEnd w:id="40"/>
    <w:bookmarkStart w:name="ua9846545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24292f"/>
          <w:sz w:val="24"/>
        </w:rPr>
        <w:t>AI: 模型细节与元件非理想特性的体现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Simulink仿真能更准确地模拟实际电路中的非理想因素，如电容的等效串联电阻（ESR）、开关管导通压降、二极管反向恢复电流等。数学模型通常简化这些因素（如忽略ESR），导致理论计算的纹波值（如公式 ）与实际仿真存在偏差。实际仿真中电压纹波小于理论预期，部分原因是数学模型未完全涵盖ESR等关键因素。</w:t>
      </w:r>
    </w:p>
    <w:bookmarkEnd w:id="42"/>
    <w:bookmarkStart w:name="ufa4a1584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真的假的.......?</w:t>
      </w:r>
    </w:p>
    <w:bookmarkEnd w:id="43"/>
    <w:bookmarkStart w:name="uc77c9130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实际上，当把开关管等效电阻和二极管电阻都设为0后，效果未变</w:t>
      </w:r>
    </w:p>
    <w:bookmarkEnd w:id="44"/>
    <w:bookmarkStart w:name="udd45d559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当负载变为1Ω时，变成11.7V</w:t>
      </w:r>
    </w:p>
    <w:bookmarkEnd w:id="45"/>
    <w:bookmarkStart w:name="u36e78d95" w:id="46"/>
    <w:p>
      <w:pPr>
        <w:spacing w:after="50" w:line="360" w:lineRule="auto" w:beforeLines="100"/>
        <w:ind w:left="0"/>
        <w:jc w:val="left"/>
      </w:pPr>
      <w:bookmarkStart w:name="ue1733027" w:id="47"/>
      <w:r>
        <w:rPr>
          <w:rFonts w:eastAsia="宋体" w:ascii="宋体"/>
        </w:rPr>
        <w:drawing>
          <wp:inline distT="0" distB="0" distL="0" distR="0">
            <wp:extent cx="5842000" cy="243608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34133" cy="4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bookmarkEnd w:id="46"/>
    <w:bookmarkStart w:name="udef4281c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多次尝试无果</w:t>
      </w:r>
    </w:p>
    <w:bookmarkEnd w:id="48"/>
    <w:bookmarkStart w:name="ue0e245d2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突然发现使用的开关管为IGTB</w:t>
      </w:r>
    </w:p>
    <w:bookmarkEnd w:id="49"/>
    <w:bookmarkStart w:name="u55c07f68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将其换为理想MOSFET后（导通各阻值设为0）</w:t>
      </w:r>
    </w:p>
    <w:bookmarkEnd w:id="50"/>
    <w:bookmarkStart w:name="ufffbdb61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仿真结果，解决了输出问题，但是还未解决纹波问题</w:t>
      </w:r>
    </w:p>
    <w:bookmarkEnd w:id="51"/>
    <w:bookmarkStart w:name="uc69d6eb5" w:id="52"/>
    <w:p>
      <w:pPr>
        <w:spacing w:after="50" w:line="360" w:lineRule="auto" w:beforeLines="100"/>
        <w:ind w:left="0"/>
        <w:jc w:val="left"/>
      </w:pPr>
      <w:bookmarkStart w:name="uaa9bc39f" w:id="53"/>
      <w:r>
        <w:rPr>
          <w:rFonts w:eastAsia="宋体" w:ascii="宋体"/>
        </w:rPr>
        <w:drawing>
          <wp:inline distT="0" distB="0" distL="0" distR="0">
            <wp:extent cx="5841999" cy="28683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12133" cy="609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bookmarkEnd w:id="52"/>
    <w:bookmarkStart w:name="ube3408f3" w:id="54"/>
    <w:p>
      <w:pPr>
        <w:spacing w:after="50" w:line="360" w:lineRule="auto" w:beforeLines="100"/>
        <w:ind w:left="0"/>
        <w:jc w:val="left"/>
      </w:pPr>
      <w:bookmarkStart w:name="u03929dc2" w:id="55"/>
      <w:r>
        <w:rPr>
          <w:rFonts w:eastAsia="宋体" w:ascii="宋体"/>
        </w:rPr>
        <w:drawing>
          <wp:inline distT="0" distB="0" distL="0" distR="0">
            <wp:extent cx="5842000" cy="15012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00933" cy="30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bookmarkEnd w:id="54"/>
    <w:bookmarkStart w:name="ucd536be7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  <w:shd w:fill="fbde28"/>
        </w:rPr>
        <w:t>可以看到都在0.001秒趋于稳定，仿真比较符合</w:t>
      </w:r>
    </w:p>
    <w:bookmarkEnd w:id="56"/>
    <w:bookmarkStart w:name="toHWU" w:id="5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误差原因分析</w:t>
      </w:r>
    </w:p>
    <w:bookmarkEnd w:id="57"/>
    <w:bookmarkStart w:name="ud2e17159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AI: GBT是一种复合型功率器件，其结构可以看作是一个MOSFET驱动一个BJT（双极结型晶体管）的达林顿结构，或者更精确地描述为一个由MOSFET控制的PIN二极管 。当IGBT导通时，其集电极（Collector）和发射极（Emitter）之间的总压降，即 </w:t>
      </w:r>
      <w:r>
        <w:rPr>
          <w:rFonts w:ascii="宋体" w:hAnsi="Times New Roman" w:eastAsia="宋体"/>
          <w:b/>
          <w:i w:val="false"/>
          <w:color w:val="24292f"/>
          <w:sz w:val="24"/>
        </w:rPr>
        <w:t>饱和压降Vce(sat)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 xml:space="preserve"> ，主要由两部分构成：内部MOSFET沟道的压降和内部PIN二极管（或BJT的PN结）的正向导通压降 。</w:t>
      </w:r>
    </w:p>
    <w:bookmarkEnd w:id="58"/>
    <w:bookmarkStart w:name="ua223641a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由于PIN二极管正向压降的存在（类似于一个二极管的压降，通常在0.7V-1.0V数量级），IGBT的Vce(sat)存在一个固有的“门槛电压”，即使在很小的电流下，这个压降也无法消除。随着电流增大，Vce(sat)会略有增加，但其关系并非线性，而是更接近对数关系 。根据器件的额定电压和工艺，IGBT的Vce(sat)典型值通常在</w:t>
      </w:r>
      <w:r>
        <w:rPr>
          <w:rFonts w:ascii="宋体" w:hAnsi="Times New Roman" w:eastAsia="宋体"/>
          <w:b/>
          <w:i w:val="false"/>
          <w:color w:val="24292f"/>
          <w:sz w:val="24"/>
        </w:rPr>
        <w:t>1.5V至3.0V</w:t>
      </w:r>
      <w:r>
        <w:rPr>
          <w:rFonts w:ascii="宋体" w:hAnsi="Times New Roman" w:eastAsia="宋体"/>
          <w:b w:val="false"/>
          <w:i w:val="false"/>
          <w:color w:val="24292f"/>
          <w:sz w:val="24"/>
        </w:rPr>
        <w:t>之间 。这个压降相对固定，对电流变化的敏感度远低于MOSFET</w:t>
      </w:r>
    </w:p>
    <w:bookmarkEnd w:id="59"/>
    <w:bookmarkStart w:name="u075abe7f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在使用的IGTB发现有一个FORWARD VOLTAGE选项，将其设为0后发现</w:t>
      </w:r>
    </w:p>
    <w:bookmarkEnd w:id="60"/>
    <w:bookmarkStart w:name="u402705e9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4292f"/>
          <w:sz w:val="24"/>
        </w:rPr>
        <w:t>可以正常输出12V，原来是有1V压降，再占空比50%时就是0.5V压降</w:t>
      </w:r>
    </w:p>
    <w:bookmarkEnd w:id="61"/>
    <w:bookmarkStart w:name="u15295138" w:id="62"/>
    <w:p>
      <w:pPr>
        <w:spacing w:after="50" w:line="360" w:lineRule="auto" w:beforeLines="100"/>
        <w:ind w:left="0"/>
        <w:jc w:val="left"/>
      </w:pPr>
      <w:bookmarkStart w:name="u6586519d" w:id="63"/>
      <w:r>
        <w:rPr>
          <w:rFonts w:eastAsia="宋体" w:ascii="宋体"/>
        </w:rPr>
        <w:drawing>
          <wp:inline distT="0" distB="0" distL="0" distR="0">
            <wp:extent cx="3606800" cy="526465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26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bookmarkEnd w:id="62"/>
    <w:bookmarkStart w:name="nh1kF" w:id="6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文件</w:t>
      </w:r>
    </w:p>
    <w:bookmarkEnd w:id="64"/>
    <w:bookmarkStart w:name="PZNoT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1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BUCK.m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65"/>
    <w:bookmarkStart w:name="u558a14dd" w:id="66"/>
    <w:bookmarkEnd w:id="6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https://www.yuque.com/attachments/yuque/0/2025/txt/49171028/1754708659220-c20e0095-ccb5-4d1f-85bd-b9d6c1d79795.txt" TargetMode="External" Type="http://schemas.openxmlformats.org/officeDocument/2006/relationships/hyperlink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