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numbering.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7.jpeg" ContentType="image/jpeg"/>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media/image7.png" ContentType="image/png"/>
  <Override PartName="/word/media/image8.png" ContentType="image/png"/>
  <Override PartName="/word/media/image9.png" ContentType="image/png"/>
  <Override PartName="/word/media/image31.png" ContentType="image/png"/>
  <Override PartName="/word/media/image30.png" ContentType="image/png"/>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20.png" ContentType="image/png"/>
  <Override PartName="/word/media/image19.png" ContentType="image/png"/>
  <Override PartName="/word/media/image18.png" ContentType="image/png"/>
  <Override PartName="/word/media/image15.png" ContentType="image/png"/>
  <Override PartName="/word/media/image16.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diagrams/quickStyle21.xml" ContentType="application/vnd.openxmlformats-officedocument.drawingml.diagramStyle+xml"/>
  <Override PartName="/word/diagrams/data21.xml" ContentType="application/vnd.openxmlformats-officedocument.drawingml.diagramData+xml"/>
  <Override PartName="/word/diagrams/drawing21.xml" ContentType="application/vnd.openxmlformats-officedocument.drawingml.diagramDrawing+xml"/>
  <Override PartName="/word/diagrams/colors21.xml" ContentType="application/vnd.openxmlformats-officedocument.drawingml.diagramColors+xml"/>
  <Override PartName="/word/diagrams/layout21.xml" ContentType="application/vnd.openxmlformats-officedocument.drawingml.diagramLayout+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2F2F2"/>
  <w:body>
    <w:tbl>
      <w:tblPr>
        <w:tblStyle w:val="TableGrid"/>
        <w:tblW w:w="11379" w:type="dxa"/>
        <w:jc w:val="left"/>
        <w:tblInd w:w="-180" w:type="dxa"/>
        <w:tblCellMar>
          <w:top w:w="0" w:type="dxa"/>
          <w:left w:w="108" w:type="dxa"/>
          <w:bottom w:w="0" w:type="dxa"/>
          <w:right w:w="108" w:type="dxa"/>
        </w:tblCellMar>
        <w:tblLook w:val="04a0"/>
      </w:tblPr>
      <w:tblGrid>
        <w:gridCol w:w="2969"/>
        <w:gridCol w:w="3447"/>
        <w:gridCol w:w="4962"/>
      </w:tblGrid>
      <w:tr>
        <w:trPr>
          <w:trHeight w:val="1560" w:hRule="atLeast"/>
        </w:trPr>
        <w:tc>
          <w:tcPr>
            <w:tcW w:w="6416" w:type="dxa"/>
            <w:gridSpan w:val="2"/>
            <w:tcBorders>
              <w:top w:val="nil"/>
              <w:left w:val="nil"/>
              <w:bottom w:val="nil"/>
              <w:right w:val="nil"/>
              <w:insideH w:val="nil"/>
              <w:insideV w:val="nil"/>
            </w:tcBorders>
            <w:shd w:color="auto" w:fill="17365D" w:themeFill="text2" w:themeFillShade="bf" w:val="clear"/>
            <w:vAlign w:val="center"/>
          </w:tcPr>
          <w:p>
            <w:pPr>
              <w:pStyle w:val="Normal"/>
              <w:spacing w:lineRule="auto" w:line="240" w:before="0" w:after="0"/>
              <w:rPr>
                <w:rFonts w:ascii="Cambria" w:hAnsi="Cambria"/>
                <w:color w:val="FFFFFF" w:themeColor="background1"/>
                <w:sz w:val="64"/>
                <w:szCs w:val="64"/>
              </w:rPr>
            </w:pPr>
            <w:r>
              <w:rPr>
                <w:rFonts w:ascii="Cambria" w:hAnsi="Cambria"/>
                <w:color w:val="FFFFFF" w:themeColor="background1"/>
                <w:sz w:val="64"/>
                <w:szCs w:val="64"/>
              </w:rPr>
              <w:t>GAURAV SHARMA</w:t>
            </w:r>
          </w:p>
          <w:p>
            <w:pPr>
              <w:pStyle w:val="Normal"/>
              <w:spacing w:lineRule="auto" w:line="240" w:before="0" w:after="0"/>
              <w:rPr/>
            </w:pPr>
            <w:r>
              <w:rPr>
                <w:rFonts w:cs="Calibri" w:ascii="Cambria" w:hAnsi="Cambria" w:cstheme="minorHAnsi"/>
                <w:color w:val="FFFFFF" w:themeColor="background1"/>
                <w:sz w:val="24"/>
                <w:szCs w:val="18"/>
              </w:rPr>
              <w:t>Transition Manager/ Delivery Manager</w:t>
            </w:r>
          </w:p>
        </w:tc>
        <w:tc>
          <w:tcPr>
            <w:tcW w:w="4962" w:type="dxa"/>
            <w:tcBorders>
              <w:top w:val="nil"/>
              <w:left w:val="nil"/>
              <w:bottom w:val="nil"/>
              <w:right w:val="nil"/>
              <w:insideH w:val="nil"/>
              <w:insideV w:val="nil"/>
            </w:tcBorders>
            <w:shd w:color="auto" w:fill="17365D" w:themeFill="text2" w:themeFillShade="bf" w:val="clear"/>
          </w:tcPr>
          <w:tbl>
            <w:tblPr>
              <w:tblStyle w:val="TableGrid"/>
              <w:tblW w:w="4707" w:type="dxa"/>
              <w:jc w:val="left"/>
              <w:tblInd w:w="0" w:type="dxa"/>
              <w:tblCellMar>
                <w:top w:w="0" w:type="dxa"/>
                <w:left w:w="108" w:type="dxa"/>
                <w:bottom w:w="0" w:type="dxa"/>
                <w:right w:w="108" w:type="dxa"/>
              </w:tblCellMar>
              <w:tblLook w:val="04a0"/>
            </w:tblPr>
            <w:tblGrid>
              <w:gridCol w:w="4707"/>
            </w:tblGrid>
            <w:tr>
              <w:trPr>
                <w:trHeight w:val="646" w:hRule="atLeast"/>
              </w:trPr>
              <w:tc>
                <w:tcPr>
                  <w:tcW w:w="4707" w:type="dxa"/>
                  <w:tcBorders>
                    <w:top w:val="nil"/>
                    <w:left w:val="nil"/>
                    <w:bottom w:val="nil"/>
                    <w:right w:val="nil"/>
                    <w:insideH w:val="nil"/>
                    <w:insideV w:val="nil"/>
                  </w:tcBorders>
                  <w:shd w:fill="auto" w:val="clear"/>
                </w:tcPr>
                <w:p>
                  <w:pPr>
                    <w:pStyle w:val="Normal"/>
                    <w:spacing w:lineRule="auto" w:line="240" w:before="0" w:after="0"/>
                    <w:rPr/>
                  </w:pPr>
                  <w:r>
                    <w:rPr>
                      <w:rFonts w:cs="Tahoma" w:ascii="Cambria" w:hAnsi="Cambria"/>
                      <w:b/>
                      <w:color w:val="FFFFFF" w:themeColor="background1"/>
                      <w:sz w:val="20"/>
                      <w:lang w:val="fr-FR"/>
                    </w:rPr>
                    <w:t>EMAIL:</w:t>
                  </w:r>
                  <w:r>
                    <w:rPr>
                      <w:lang w:val="fr-FR"/>
                    </w:rPr>
                    <w:t xml:space="preserve"> </w:t>
                  </w:r>
                  <w:hyperlink r:id="rId2">
                    <w:r>
                      <w:rPr>
                        <w:rStyle w:val="InternetLink"/>
                        <w:lang w:val="fr-FR"/>
                      </w:rPr>
                      <w:t>grv_sharma@hotmail.com</w:t>
                    </w:r>
                  </w:hyperlink>
                  <w:r>
                    <w:rPr>
                      <w:lang w:val="fr-FR"/>
                    </w:rPr>
                    <w:t xml:space="preserve"> </w:t>
                  </w:r>
                </w:p>
                <w:p>
                  <w:pPr>
                    <w:pStyle w:val="Normal"/>
                    <w:spacing w:lineRule="auto" w:line="240" w:before="0" w:after="0"/>
                    <w:rPr>
                      <w:rFonts w:ascii="Cambria" w:hAnsi="Cambria" w:cs="Tahoma"/>
                      <w:color w:val="FFFFFF" w:themeColor="background1"/>
                      <w:lang w:val="fr-FR"/>
                    </w:rPr>
                  </w:pPr>
                  <w:r>
                    <mc:AlternateContent>
                      <mc:Choice Requires="wps">
                        <w:drawing>
                          <wp:anchor behindDoc="0" distT="0" distB="0" distL="114300" distR="114300" simplePos="0" locked="0" layoutInCell="1" allowOverlap="1" relativeHeight="10">
                            <wp:simplePos x="0" y="0"/>
                            <wp:positionH relativeFrom="column">
                              <wp:posOffset>-127635</wp:posOffset>
                            </wp:positionH>
                            <wp:positionV relativeFrom="paragraph">
                              <wp:posOffset>241300</wp:posOffset>
                            </wp:positionV>
                            <wp:extent cx="3105785" cy="1270"/>
                            <wp:effectExtent l="0" t="0" r="0" b="0"/>
                            <wp:wrapNone/>
                            <wp:docPr id="1" name="Straight Connector 26"/>
                            <a:graphic xmlns:a="http://schemas.openxmlformats.org/drawingml/2006/main">
                              <a:graphicData uri="http://schemas.microsoft.com/office/word/2010/wordprocessingShape">
                                <wps:wsp>
                                  <wps:cNvSpPr/>
                                  <wps:spPr>
                                    <a:xfrm>
                                      <a:off x="0" y="0"/>
                                      <a:ext cx="3105000" cy="720"/>
                                    </a:xfrm>
                                    <a:prstGeom prst="line">
                                      <a:avLst/>
                                    </a:prstGeom>
                                    <a:ln w="12600">
                                      <a:solidFill>
                                        <a:schemeClr val="bg1"/>
                                      </a:solidFill>
                                      <a:round/>
                                    </a:ln>
                                  </wps:spPr>
                                  <wps:style>
                                    <a:lnRef idx="0"/>
                                    <a:fillRef idx="0"/>
                                    <a:effectRef idx="0"/>
                                    <a:fontRef idx="minor"/>
                                  </wps:style>
                                  <wps:bodyPr/>
                                </wps:wsp>
                              </a:graphicData>
                            </a:graphic>
                          </wp:anchor>
                        </w:drawing>
                      </mc:Choice>
                      <mc:Fallback>
                        <w:pict>
                          <v:line id="shape_0" from="-10.1pt,19pt" to="234.35pt,19pt" ID="Straight Connector 26" stroked="t" style="position:absolute">
                            <v:stroke color="white" weight="12600" joinstyle="round" endcap="flat"/>
                            <v:fill o:detectmouseclick="t" on="false"/>
                          </v:line>
                        </w:pict>
                      </mc:Fallback>
                    </mc:AlternateContent>
                  </w:r>
                  <w:r>
                    <w:rPr>
                      <w:rFonts w:cs="Tahoma" w:ascii="Cambria" w:hAnsi="Cambria"/>
                      <w:b/>
                      <w:color w:val="FFFFFF" w:themeColor="background1"/>
                      <w:sz w:val="20"/>
                      <w:lang w:val="fr-FR"/>
                    </w:rPr>
                    <w:t>MOBILE</w:t>
                  </w:r>
                  <w:r>
                    <w:rPr>
                      <w:rFonts w:cs="Tahoma" w:ascii="Cambria" w:hAnsi="Cambria"/>
                      <w:color w:val="FFFFFF" w:themeColor="background1"/>
                      <w:sz w:val="20"/>
                      <w:lang w:val="fr-FR"/>
                    </w:rPr>
                    <w:t>:</w:t>
                  </w:r>
                  <w:r>
                    <w:rPr>
                      <w:rFonts w:cs="Tahoma" w:ascii="Cambria" w:hAnsi="Cambria"/>
                      <w:color w:val="FFFFFF" w:themeColor="background1"/>
                      <w:lang w:val="fr-FR"/>
                    </w:rPr>
                    <w:t xml:space="preserve"> +91-9899426190</w:t>
                  </w:r>
                </w:p>
              </w:tc>
            </w:tr>
            <w:tr>
              <w:trPr>
                <w:trHeight w:val="737" w:hRule="atLeast"/>
              </w:trPr>
              <w:tc>
                <w:tcPr>
                  <w:tcW w:w="4707"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b/>
                      <w:b/>
                      <w:color w:val="FFFFFF" w:themeColor="background1"/>
                      <w:sz w:val="20"/>
                      <w:lang w:val="fr-FR"/>
                    </w:rPr>
                  </w:pPr>
                  <w:r>
                    <w:drawing>
                      <wp:anchor behindDoc="0" distT="0" distB="0" distL="114300" distR="114300" simplePos="0" locked="0" layoutInCell="1" allowOverlap="1" relativeHeight="9">
                        <wp:simplePos x="0" y="0"/>
                        <wp:positionH relativeFrom="column">
                          <wp:posOffset>-50800</wp:posOffset>
                        </wp:positionH>
                        <wp:positionV relativeFrom="paragraph">
                          <wp:posOffset>34925</wp:posOffset>
                        </wp:positionV>
                        <wp:extent cx="228600" cy="407670"/>
                        <wp:effectExtent l="0" t="0" r="0" b="0"/>
                        <wp:wrapNone/>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lum bright="70000" contrast="-70000"/>
                                </a:blip>
                                <a:stretch>
                                  <a:fillRect/>
                                </a:stretch>
                              </pic:blipFill>
                              <pic:spPr bwMode="auto">
                                <a:xfrm>
                                  <a:off x="0" y="0"/>
                                  <a:ext cx="228600" cy="407670"/>
                                </a:xfrm>
                                <a:prstGeom prst="rect">
                                  <a:avLst/>
                                </a:prstGeom>
                              </pic:spPr>
                            </pic:pic>
                          </a:graphicData>
                        </a:graphic>
                      </wp:anchor>
                    </w:drawing>
                  </w:r>
                  <w:r>
                    <w:rPr>
                      <w:rFonts w:cs="Tahoma" w:ascii="Cambria" w:hAnsi="Cambria"/>
                      <w:color w:val="FFFFFF" w:themeColor="background1"/>
                      <w:lang w:val="fr-FR"/>
                    </w:rPr>
                    <w:t xml:space="preserve"> </w:t>
                  </w:r>
                  <w:r>
                    <w:rPr>
                      <w:rFonts w:cs="Tahoma" w:ascii="Cambria" w:hAnsi="Cambria"/>
                      <w:color w:val="FFFFFF" w:themeColor="background1"/>
                      <w:lang w:val="fr-FR"/>
                    </w:rPr>
                    <w:t xml:space="preserve">        </w:t>
                  </w:r>
                  <w:r>
                    <w:rPr>
                      <w:rFonts w:cs="Tahoma" w:ascii="Cambria" w:hAnsi="Cambria"/>
                      <w:b/>
                      <w:bCs/>
                      <w:color w:val="FFFFFF" w:themeColor="background1"/>
                      <w:lang w:val="fr-FR"/>
                    </w:rPr>
                    <w:t>Current</w:t>
                  </w:r>
                  <w:r>
                    <w:rPr>
                      <w:rFonts w:cs="Tahoma" w:ascii="Cambria" w:hAnsi="Cambria"/>
                      <w:color w:val="FFFFFF" w:themeColor="background1"/>
                      <w:lang w:val="fr-FR"/>
                    </w:rPr>
                    <w:t xml:space="preserve"> </w:t>
                  </w:r>
                  <w:r>
                    <w:rPr>
                      <w:rFonts w:cs="Tahoma" w:ascii="Cambria" w:hAnsi="Cambria"/>
                      <w:b/>
                      <w:color w:val="FFFFFF" w:themeColor="background1"/>
                      <w:sz w:val="20"/>
                      <w:lang w:val="fr-FR"/>
                    </w:rPr>
                    <w:t>LOCATION</w:t>
                  </w:r>
                </w:p>
                <w:p>
                  <w:pPr>
                    <w:pStyle w:val="Normal"/>
                    <w:spacing w:lineRule="auto" w:line="240" w:before="0" w:after="0"/>
                    <w:rPr>
                      <w:rFonts w:ascii="Cambria" w:hAnsi="Cambria" w:cs="Tahoma"/>
                      <w:color w:val="FFFFFF" w:themeColor="background1"/>
                      <w:sz w:val="20"/>
                      <w:lang w:val="fr-FR"/>
                    </w:rPr>
                  </w:pPr>
                  <w:r>
                    <w:rPr>
                      <w:rFonts w:cs="Tahoma" w:ascii="Cambria" w:hAnsi="Cambria"/>
                      <w:color w:val="FFFFFF" w:themeColor="background1"/>
                      <w:sz w:val="20"/>
                      <w:lang w:val="fr-FR"/>
                    </w:rPr>
                    <w:t xml:space="preserve">          </w:t>
                  </w:r>
                  <w:r>
                    <w:rPr>
                      <w:rFonts w:cs="Tahoma" w:ascii="Cambria" w:hAnsi="Cambria"/>
                      <w:color w:val="FFFFFF" w:themeColor="background1"/>
                      <w:sz w:val="20"/>
                      <w:lang w:val="fr-FR"/>
                    </w:rPr>
                    <w:t>Panchkula, Haryana, India</w:t>
                  </w:r>
                </w:p>
                <w:p>
                  <w:pPr>
                    <w:pStyle w:val="Normal"/>
                    <w:spacing w:lineRule="auto" w:line="240" w:before="0" w:after="0"/>
                    <w:rPr/>
                  </w:pPr>
                  <w:hyperlink r:id="rId4">
                    <w:r>
                      <w:rPr>
                        <w:rStyle w:val="InternetLink"/>
                        <w:rFonts w:cs="Tahoma" w:ascii="Cambria" w:hAnsi="Cambria"/>
                        <w:sz w:val="16"/>
                        <w:szCs w:val="16"/>
                        <w:lang w:val="fr-FR"/>
                      </w:rPr>
                      <w:t>https://www.linkedin.com/in/gaurav-sharma-pm-data-analyst/</w:t>
                    </w:r>
                  </w:hyperlink>
                </w:p>
              </w:tc>
            </w:tr>
          </w:tbl>
          <w:p>
            <w:pPr>
              <w:pStyle w:val="Normal"/>
              <w:spacing w:before="0" w:after="0"/>
              <w:rPr>
                <w:rFonts w:ascii="Cambria" w:hAnsi="Cambria" w:cs="Tahoma"/>
                <w:color w:val="FFFFFF" w:themeColor="background1"/>
                <w:lang w:val="fr-FR"/>
              </w:rPr>
            </w:pPr>
            <w:r>
              <w:rPr>
                <w:rFonts w:cs="Tahoma" w:ascii="Cambria" w:hAnsi="Cambria"/>
                <w:color w:val="FFFFFF" w:themeColor="background1"/>
                <w:lang w:val="fr-FR"/>
              </w:rPr>
            </w:r>
          </w:p>
        </w:tc>
      </w:tr>
      <w:tr>
        <w:trPr>
          <w:trHeight w:val="638" w:hRule="atLeast"/>
        </w:trPr>
        <w:tc>
          <w:tcPr>
            <w:tcW w:w="11378" w:type="dxa"/>
            <w:gridSpan w:val="3"/>
            <w:tcBorders/>
            <w:shd w:color="auto" w:fill="D9D9D9" w:themeFill="background1" w:themeFillShade="d9" w:val="clear"/>
            <w:vAlign w:val="center"/>
          </w:tcPr>
          <w:p>
            <w:pPr>
              <w:pStyle w:val="Normal"/>
              <w:spacing w:lineRule="auto" w:line="240" w:before="0" w:after="0"/>
              <w:jc w:val="center"/>
              <w:rPr/>
            </w:pPr>
            <w:r>
              <w:rPr>
                <w:rFonts w:ascii="Cambria" w:hAnsi="Cambria" w:asciiTheme="majorHAnsi" w:hAnsiTheme="majorHAnsi"/>
                <w:b/>
                <w:sz w:val="18"/>
                <w:szCs w:val="18"/>
                <w:lang w:val="fr-FR"/>
              </w:rPr>
              <w:t xml:space="preserve"> </w:t>
            </w:r>
            <w:r>
              <w:rPr>
                <w:rFonts w:ascii="Cambria" w:hAnsi="Cambria" w:asciiTheme="majorHAnsi" w:hAnsiTheme="majorHAnsi"/>
                <w:b/>
                <w:sz w:val="18"/>
                <w:szCs w:val="18"/>
                <w:lang w:val="fr-FR"/>
              </w:rPr>
              <w:t>Transition/</w:t>
            </w:r>
            <w:r>
              <w:rPr>
                <w:rFonts w:ascii="Cambria" w:hAnsi="Cambria" w:asciiTheme="majorHAnsi" w:hAnsiTheme="majorHAnsi"/>
                <w:b/>
                <w:sz w:val="18"/>
                <w:szCs w:val="18"/>
              </w:rPr>
              <w:t>Project Management Professional,</w:t>
            </w:r>
            <w:r>
              <w:rPr>
                <w:rFonts w:ascii="Cambria" w:hAnsi="Cambria" w:asciiTheme="majorHAnsi" w:hAnsiTheme="majorHAnsi"/>
                <w:sz w:val="18"/>
                <w:szCs w:val="18"/>
              </w:rPr>
              <w:t xml:space="preserve"> leveraging more than 18 Years of </w:t>
            </w:r>
            <w:r>
              <w:rPr>
                <w:rFonts w:ascii="Cambria" w:hAnsi="Cambria" w:asciiTheme="majorHAnsi" w:hAnsiTheme="majorHAnsi"/>
                <w:b/>
                <w:bCs/>
                <w:sz w:val="18"/>
                <w:szCs w:val="18"/>
              </w:rPr>
              <w:t>IT Industry experience</w:t>
            </w:r>
            <w:r>
              <w:rPr>
                <w:rFonts w:ascii="Cambria" w:hAnsi="Cambria" w:asciiTheme="majorHAnsi" w:hAnsiTheme="majorHAnsi"/>
                <w:sz w:val="18"/>
                <w:szCs w:val="18"/>
              </w:rPr>
              <w:t xml:space="preserve"> where in </w:t>
            </w:r>
            <w:r>
              <w:rPr>
                <w:rFonts w:ascii="Cambria" w:hAnsi="Cambria" w:asciiTheme="majorHAnsi" w:hAnsiTheme="majorHAnsi"/>
                <w:sz w:val="18"/>
                <w:szCs w:val="18"/>
              </w:rPr>
              <w:t>15</w:t>
            </w:r>
            <w:r>
              <w:rPr>
                <w:rFonts w:ascii="Cambria" w:hAnsi="Cambria" w:asciiTheme="majorHAnsi" w:hAnsiTheme="majorHAnsi"/>
                <w:sz w:val="18"/>
                <w:szCs w:val="18"/>
              </w:rPr>
              <w:t xml:space="preserve">+ years of </w:t>
            </w:r>
            <w:r>
              <w:rPr>
                <w:rFonts w:ascii="Cambria" w:hAnsi="Cambria" w:asciiTheme="majorHAnsi" w:hAnsiTheme="majorHAnsi"/>
                <w:sz w:val="18"/>
                <w:szCs w:val="18"/>
              </w:rPr>
              <w:t>Transition</w:t>
            </w:r>
            <w:r>
              <w:rPr>
                <w:rFonts w:ascii="Cambria" w:hAnsi="Cambria" w:asciiTheme="majorHAnsi" w:hAnsiTheme="majorHAnsi"/>
                <w:sz w:val="18"/>
                <w:szCs w:val="18"/>
              </w:rPr>
              <w:t xml:space="preserve"> management /</w:t>
            </w:r>
            <w:r>
              <w:rPr>
                <w:rFonts w:ascii="Cambria" w:hAnsi="Cambria" w:asciiTheme="majorHAnsi" w:hAnsiTheme="majorHAnsi"/>
                <w:sz w:val="18"/>
                <w:szCs w:val="18"/>
              </w:rPr>
              <w:t xml:space="preserve">Project Management </w:t>
            </w:r>
            <w:r>
              <w:rPr>
                <w:rFonts w:ascii="Cambria" w:hAnsi="Cambria" w:asciiTheme="majorHAnsi" w:hAnsiTheme="majorHAnsi"/>
                <w:sz w:val="18"/>
                <w:szCs w:val="18"/>
              </w:rPr>
              <w:t xml:space="preserve">experience in front-leading complex assignments related to </w:t>
            </w:r>
            <w:r>
              <w:rPr>
                <w:rFonts w:ascii="Cambria" w:hAnsi="Cambria" w:asciiTheme="majorHAnsi" w:hAnsiTheme="majorHAnsi"/>
                <w:b/>
                <w:bCs/>
                <w:sz w:val="18"/>
                <w:szCs w:val="18"/>
              </w:rPr>
              <w:t>infrastructure Services &amp; Cloud with DevOps/API Integration</w:t>
            </w:r>
            <w:r>
              <w:rPr>
                <w:rFonts w:ascii="Cambria" w:hAnsi="Cambria" w:asciiTheme="majorHAnsi" w:hAnsiTheme="majorHAnsi"/>
                <w:b/>
                <w:sz w:val="18"/>
                <w:szCs w:val="18"/>
              </w:rPr>
              <w:t xml:space="preserve"> </w:t>
            </w:r>
            <w:r>
              <w:rPr>
                <w:rFonts w:ascii="Cambria" w:hAnsi="Cambria" w:asciiTheme="majorHAnsi" w:hAnsiTheme="majorHAnsi"/>
                <w:bCs/>
                <w:sz w:val="18"/>
                <w:szCs w:val="18"/>
              </w:rPr>
              <w:t>in the space of</w:t>
            </w:r>
            <w:r>
              <w:rPr>
                <w:rFonts w:ascii="Cambria" w:hAnsi="Cambria" w:asciiTheme="majorHAnsi" w:hAnsiTheme="majorHAnsi"/>
                <w:sz w:val="18"/>
                <w:szCs w:val="18"/>
              </w:rPr>
              <w:t xml:space="preserve"> Project &amp; Program Management and Searching for</w:t>
            </w:r>
            <w:r>
              <w:rPr>
                <w:rFonts w:ascii="Cambria" w:hAnsi="Cambria" w:asciiTheme="majorHAnsi" w:hAnsiTheme="majorHAnsi"/>
                <w:b/>
                <w:sz w:val="18"/>
                <w:szCs w:val="18"/>
              </w:rPr>
              <w:t xml:space="preserve"> Sr Technical Project Manager &amp; Technical Project Manager </w:t>
            </w:r>
            <w:r>
              <w:rPr>
                <w:rFonts w:ascii="Cambria" w:hAnsi="Cambria" w:asciiTheme="majorHAnsi" w:hAnsiTheme="majorHAnsi"/>
                <w:bCs/>
                <w:sz w:val="18"/>
                <w:szCs w:val="18"/>
              </w:rPr>
              <w:t>role in</w:t>
            </w:r>
            <w:r>
              <w:rPr>
                <w:rFonts w:ascii="Cambria" w:hAnsi="Cambria" w:asciiTheme="majorHAnsi" w:hAnsiTheme="majorHAnsi"/>
                <w:b/>
                <w:sz w:val="18"/>
                <w:szCs w:val="18"/>
              </w:rPr>
              <w:t xml:space="preserve"> </w:t>
            </w:r>
            <w:r>
              <w:rPr>
                <w:rFonts w:ascii="Cambria" w:hAnsi="Cambria" w:asciiTheme="majorHAnsi" w:hAnsiTheme="majorHAnsi"/>
                <w:bCs/>
                <w:sz w:val="18"/>
                <w:szCs w:val="18"/>
              </w:rPr>
              <w:t>reputed Organization</w:t>
            </w:r>
            <w:r>
              <w:rPr>
                <w:rFonts w:ascii="Cambria" w:hAnsi="Cambria" w:asciiTheme="majorHAnsi" w:hAnsiTheme="majorHAnsi"/>
                <w:b/>
                <w:sz w:val="18"/>
                <w:szCs w:val="18"/>
              </w:rPr>
              <w:t xml:space="preserve"> </w:t>
            </w:r>
          </w:p>
          <w:p>
            <w:pPr>
              <w:pStyle w:val="Normal"/>
              <w:spacing w:lineRule="auto" w:line="240" w:before="0" w:after="0"/>
              <w:jc w:val="center"/>
              <w:rPr>
                <w:rFonts w:ascii="Cambria" w:hAnsi="Cambria" w:asciiTheme="majorHAnsi" w:hAnsiTheme="majorHAnsi"/>
                <w:bCs/>
                <w:sz w:val="18"/>
                <w:szCs w:val="18"/>
              </w:rPr>
            </w:pPr>
            <w:r>
              <w:rPr>
                <w:rFonts w:asciiTheme="majorHAnsi" w:hAnsiTheme="majorHAnsi" w:ascii="Cambria" w:hAnsi="Cambria"/>
                <w:bCs/>
                <w:sz w:val="18"/>
                <w:szCs w:val="18"/>
              </w:rPr>
            </w:r>
          </w:p>
        </w:tc>
      </w:tr>
      <w:tr>
        <w:trPr>
          <w:trHeight w:val="6570" w:hRule="atLeast"/>
        </w:trPr>
        <w:tc>
          <w:tcPr>
            <w:tcW w:w="11378" w:type="dxa"/>
            <w:gridSpan w:val="3"/>
            <w:tcBorders/>
            <w:shd w:fill="auto" w:val="clear"/>
          </w:tcPr>
          <w:p>
            <w:pPr>
              <w:pStyle w:val="Normal"/>
              <w:spacing w:before="0" w:after="0"/>
              <w:jc w:val="both"/>
              <w:rPr>
                <w:rFonts w:ascii="Cambria" w:hAnsi="Cambria" w:cs="Tahoma"/>
                <w:b/>
                <w:b/>
                <w:color w:val="154960"/>
                <w:sz w:val="24"/>
              </w:rPr>
            </w:pPr>
            <w:r>
              <w:rPr/>
              <w:drawing>
                <wp:inline distT="0" distB="0" distL="0" distR="0">
                  <wp:extent cx="228600" cy="22860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CORE COMPETENCIES</w:t>
            </w:r>
          </w:p>
          <w:tbl>
            <w:tblPr>
              <w:tblStyle w:val="TableGrid"/>
              <w:tblW w:w="11361" w:type="dxa"/>
              <w:jc w:val="left"/>
              <w:tblInd w:w="0" w:type="dxa"/>
              <w:tblCellMar>
                <w:top w:w="0" w:type="dxa"/>
                <w:left w:w="108" w:type="dxa"/>
                <w:bottom w:w="0" w:type="dxa"/>
                <w:right w:w="108" w:type="dxa"/>
              </w:tblCellMar>
              <w:tblLook w:val="04a0"/>
            </w:tblPr>
            <w:tblGrid>
              <w:gridCol w:w="718"/>
              <w:gridCol w:w="3069"/>
              <w:gridCol w:w="718"/>
              <w:gridCol w:w="3070"/>
              <w:gridCol w:w="718"/>
              <w:gridCol w:w="3067"/>
            </w:tblGrid>
            <w:tr>
              <w:trPr>
                <w:trHeight w:val="20" w:hRule="atLeast"/>
              </w:trPr>
              <w:tc>
                <w:tcPr>
                  <w:tcW w:w="718" w:type="dxa"/>
                  <w:tcBorders>
                    <w:top w:val="nil"/>
                    <w:left w:val="nil"/>
                    <w:bottom w:val="nil"/>
                    <w:right w:val="nil"/>
                    <w:insideH w:val="nil"/>
                    <w:insideV w:val="nil"/>
                  </w:tcBorders>
                  <w:shd w:fill="auto" w:val="clear"/>
                  <w:vAlign w:val="cente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4"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
                                <pic:cNvPicPr>
                                  <a:picLocks noChangeAspect="1" noChangeArrowheads="1"/>
                                </pic:cNvPicPr>
                              </pic:nvPicPr>
                              <pic:blipFill>
                                <a:blip r:embed="rId6"/>
                                <a:stretch>
                                  <a:fillRect/>
                                </a:stretch>
                              </pic:blipFill>
                              <pic:spPr bwMode="auto">
                                <a:xfrm>
                                  <a:off x="0" y="0"/>
                                  <a:ext cx="242570" cy="193040"/>
                                </a:xfrm>
                                <a:prstGeom prst="rect">
                                  <a:avLst/>
                                </a:prstGeom>
                              </pic:spPr>
                            </pic:pic>
                          </a:graphicData>
                        </a:graphic>
                      </wp:inline>
                    </w:drawing>
                  </w:r>
                </w:p>
              </w:tc>
              <w:tc>
                <w:tcPr>
                  <w:tcW w:w="3069"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color w:val="000000" w:themeColor="text1"/>
                      <w:sz w:val="16"/>
                      <w:szCs w:val="16"/>
                    </w:rPr>
                  </w:r>
                </w:p>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Cloud Transformation Project Management</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5"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3" descr=""/>
                                <pic:cNvPicPr>
                                  <a:picLocks noChangeAspect="1" noChangeArrowheads="1"/>
                                </pic:cNvPicPr>
                              </pic:nvPicPr>
                              <pic:blipFill>
                                <a:blip r:embed="rId7"/>
                                <a:stretch>
                                  <a:fillRect/>
                                </a:stretch>
                              </pic:blipFill>
                              <pic:spPr bwMode="auto">
                                <a:xfrm>
                                  <a:off x="0" y="0"/>
                                  <a:ext cx="242570" cy="193040"/>
                                </a:xfrm>
                                <a:prstGeom prst="rect">
                                  <a:avLst/>
                                </a:prstGeom>
                              </pic:spPr>
                            </pic:pic>
                          </a:graphicData>
                        </a:graphic>
                      </wp:inline>
                    </w:drawing>
                  </w:r>
                </w:p>
              </w:tc>
              <w:tc>
                <w:tcPr>
                  <w:tcW w:w="3070"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AWS/Azure Based Cloud Infrastructure Migration Project Management</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242570" cy="193040"/>
                                </a:xfrm>
                                <a:prstGeom prst="rect">
                                  <a:avLst/>
                                </a:prstGeom>
                              </pic:spPr>
                            </pic:pic>
                          </a:graphicData>
                        </a:graphic>
                      </wp:inline>
                    </w:drawing>
                  </w:r>
                </w:p>
              </w:tc>
              <w:tc>
                <w:tcPr>
                  <w:tcW w:w="3067"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Scope, Cost &amp; Schedule Baseline management</w:t>
                  </w:r>
                </w:p>
              </w:tc>
            </w:tr>
            <w:tr>
              <w:trPr>
                <w:trHeight w:val="20" w:hRule="atLeast"/>
              </w:trPr>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7"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0" descr=""/>
                                <pic:cNvPicPr>
                                  <a:picLocks noChangeAspect="1" noChangeArrowheads="1"/>
                                </pic:cNvPicPr>
                              </pic:nvPicPr>
                              <pic:blipFill>
                                <a:blip r:embed="rId9"/>
                                <a:stretch>
                                  <a:fillRect/>
                                </a:stretch>
                              </pic:blipFill>
                              <pic:spPr bwMode="auto">
                                <a:xfrm>
                                  <a:off x="0" y="0"/>
                                  <a:ext cx="242570" cy="193040"/>
                                </a:xfrm>
                                <a:prstGeom prst="rect">
                                  <a:avLst/>
                                </a:prstGeom>
                              </pic:spPr>
                            </pic:pic>
                          </a:graphicData>
                        </a:graphic>
                      </wp:inline>
                    </w:drawing>
                  </w:r>
                </w:p>
              </w:tc>
              <w:tc>
                <w:tcPr>
                  <w:tcW w:w="3069"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Cybersecurity Application Project Integration/Migration</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8"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5" descr=""/>
                                <pic:cNvPicPr>
                                  <a:picLocks noChangeAspect="1" noChangeArrowheads="1"/>
                                </pic:cNvPicPr>
                              </pic:nvPicPr>
                              <pic:blipFill>
                                <a:blip r:embed="rId10"/>
                                <a:stretch>
                                  <a:fillRect/>
                                </a:stretch>
                              </pic:blipFill>
                              <pic:spPr bwMode="auto">
                                <a:xfrm>
                                  <a:off x="0" y="0"/>
                                  <a:ext cx="242570" cy="193040"/>
                                </a:xfrm>
                                <a:prstGeom prst="rect">
                                  <a:avLst/>
                                </a:prstGeom>
                              </pic:spPr>
                            </pic:pic>
                          </a:graphicData>
                        </a:graphic>
                      </wp:inline>
                    </w:drawing>
                  </w:r>
                </w:p>
              </w:tc>
              <w:tc>
                <w:tcPr>
                  <w:tcW w:w="3070" w:type="dxa"/>
                  <w:tcBorders>
                    <w:top w:val="nil"/>
                    <w:left w:val="nil"/>
                    <w:bottom w:val="nil"/>
                    <w:right w:val="nil"/>
                    <w:insideH w:val="nil"/>
                    <w:insideV w:val="nil"/>
                  </w:tcBorders>
                  <w:shd w:fill="auto" w:val="clear"/>
                  <w:vAlign w:val="center"/>
                </w:tcPr>
                <w:p>
                  <w:pPr>
                    <w:pStyle w:val="Normal"/>
                    <w:spacing w:lineRule="auto" w:line="240" w:before="0" w:after="0"/>
                    <w:rPr/>
                  </w:pPr>
                  <w:r>
                    <w:rPr>
                      <w:rFonts w:cs="Tahoma" w:ascii="Cambria" w:hAnsi="Cambria" w:asciiTheme="majorHAnsi" w:hAnsiTheme="majorHAnsi"/>
                      <w:color w:val="000000" w:themeColor="text1"/>
                      <w:sz w:val="16"/>
                      <w:szCs w:val="16"/>
                    </w:rPr>
                    <w:t>Tech Refresh/Data center migration/consolidation</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9"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descr=""/>
                                <pic:cNvPicPr>
                                  <a:picLocks noChangeAspect="1" noChangeArrowheads="1"/>
                                </pic:cNvPicPr>
                              </pic:nvPicPr>
                              <pic:blipFill>
                                <a:blip r:embed="rId11"/>
                                <a:stretch>
                                  <a:fillRect/>
                                </a:stretch>
                              </pic:blipFill>
                              <pic:spPr bwMode="auto">
                                <a:xfrm>
                                  <a:off x="0" y="0"/>
                                  <a:ext cx="242570" cy="193040"/>
                                </a:xfrm>
                                <a:prstGeom prst="rect">
                                  <a:avLst/>
                                </a:prstGeom>
                              </pic:spPr>
                            </pic:pic>
                          </a:graphicData>
                        </a:graphic>
                      </wp:inline>
                    </w:drawing>
                  </w:r>
                </w:p>
              </w:tc>
              <w:tc>
                <w:tcPr>
                  <w:tcW w:w="3067"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Disaster Recovery Project Management</w:t>
                  </w:r>
                </w:p>
              </w:tc>
            </w:tr>
            <w:tr>
              <w:trPr>
                <w:trHeight w:val="20" w:hRule="atLeast"/>
              </w:trPr>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0" name="Picture 1191265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91265796" descr=""/>
                                <pic:cNvPicPr>
                                  <a:picLocks noChangeAspect="1" noChangeArrowheads="1"/>
                                </pic:cNvPicPr>
                              </pic:nvPicPr>
                              <pic:blipFill>
                                <a:blip r:embed="rId12"/>
                                <a:stretch>
                                  <a:fillRect/>
                                </a:stretch>
                              </pic:blipFill>
                              <pic:spPr bwMode="auto">
                                <a:xfrm>
                                  <a:off x="0" y="0"/>
                                  <a:ext cx="242570" cy="193040"/>
                                </a:xfrm>
                                <a:prstGeom prst="rect">
                                  <a:avLst/>
                                </a:prstGeom>
                              </pic:spPr>
                            </pic:pic>
                          </a:graphicData>
                        </a:graphic>
                      </wp:inline>
                    </w:drawing>
                  </w:r>
                  <w:r>
                    <w:rPr/>
                    <w:drawing>
                      <wp:inline distT="0" distB="0" distL="0" distR="5715">
                        <wp:extent cx="242570" cy="193040"/>
                        <wp:effectExtent l="0" t="0" r="0" b="0"/>
                        <wp:docPr id="1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1" descr=""/>
                                <pic:cNvPicPr>
                                  <a:picLocks noChangeAspect="1" noChangeArrowheads="1"/>
                                </pic:cNvPicPr>
                              </pic:nvPicPr>
                              <pic:blipFill>
                                <a:blip r:embed="rId13"/>
                                <a:stretch>
                                  <a:fillRect/>
                                </a:stretch>
                              </pic:blipFill>
                              <pic:spPr bwMode="auto">
                                <a:xfrm>
                                  <a:off x="0" y="0"/>
                                  <a:ext cx="242570" cy="193040"/>
                                </a:xfrm>
                                <a:prstGeom prst="rect">
                                  <a:avLst/>
                                </a:prstGeom>
                              </pic:spPr>
                            </pic:pic>
                          </a:graphicData>
                        </a:graphic>
                      </wp:inline>
                    </w:drawing>
                  </w:r>
                </w:p>
              </w:tc>
              <w:tc>
                <w:tcPr>
                  <w:tcW w:w="3069"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 xml:space="preserve">Datacenter Migration, On-Prem and Cloud Infrastructure, </w:t>
                  </w:r>
                </w:p>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Data Analysis using R, Python, SQL,</w:t>
                  </w:r>
                </w:p>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AI, ML, PowerBI, Tableau</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2"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6" descr=""/>
                                <pic:cNvPicPr>
                                  <a:picLocks noChangeAspect="1" noChangeArrowheads="1"/>
                                </pic:cNvPicPr>
                              </pic:nvPicPr>
                              <pic:blipFill>
                                <a:blip r:embed="rId14"/>
                                <a:stretch>
                                  <a:fillRect/>
                                </a:stretch>
                              </pic:blipFill>
                              <pic:spPr bwMode="auto">
                                <a:xfrm>
                                  <a:off x="0" y="0"/>
                                  <a:ext cx="242570" cy="193040"/>
                                </a:xfrm>
                                <a:prstGeom prst="rect">
                                  <a:avLst/>
                                </a:prstGeom>
                              </pic:spPr>
                            </pic:pic>
                          </a:graphicData>
                        </a:graphic>
                      </wp:inline>
                    </w:drawing>
                  </w:r>
                </w:p>
              </w:tc>
              <w:tc>
                <w:tcPr>
                  <w:tcW w:w="3070"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Network/Firewall/VPN/Routers/Switches/Inter site Network Connectivity and Implementation Project Management</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3"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2" descr=""/>
                                <pic:cNvPicPr>
                                  <a:picLocks noChangeAspect="1" noChangeArrowheads="1"/>
                                </pic:cNvPicPr>
                              </pic:nvPicPr>
                              <pic:blipFill>
                                <a:blip r:embed="rId15"/>
                                <a:stretch>
                                  <a:fillRect/>
                                </a:stretch>
                              </pic:blipFill>
                              <pic:spPr bwMode="auto">
                                <a:xfrm>
                                  <a:off x="0" y="0"/>
                                  <a:ext cx="242570" cy="193040"/>
                                </a:xfrm>
                                <a:prstGeom prst="rect">
                                  <a:avLst/>
                                </a:prstGeom>
                              </pic:spPr>
                            </pic:pic>
                          </a:graphicData>
                        </a:graphic>
                      </wp:inline>
                    </w:drawing>
                  </w:r>
                </w:p>
              </w:tc>
              <w:tc>
                <w:tcPr>
                  <w:tcW w:w="3067"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IBM Softlayer, IBM Watson, z/OS Based Project Management</w:t>
                  </w:r>
                </w:p>
              </w:tc>
            </w:tr>
            <w:tr>
              <w:trPr>
                <w:trHeight w:val="20" w:hRule="atLeast"/>
              </w:trPr>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
                                <pic:cNvPicPr>
                                  <a:picLocks noChangeAspect="1" noChangeArrowheads="1"/>
                                </pic:cNvPicPr>
                              </pic:nvPicPr>
                              <pic:blipFill>
                                <a:blip r:embed="rId16"/>
                                <a:stretch>
                                  <a:fillRect/>
                                </a:stretch>
                              </pic:blipFill>
                              <pic:spPr bwMode="auto">
                                <a:xfrm>
                                  <a:off x="0" y="0"/>
                                  <a:ext cx="242570" cy="193040"/>
                                </a:xfrm>
                                <a:prstGeom prst="rect">
                                  <a:avLst/>
                                </a:prstGeom>
                              </pic:spPr>
                            </pic:pic>
                          </a:graphicData>
                        </a:graphic>
                      </wp:inline>
                    </w:drawing>
                  </w:r>
                </w:p>
              </w:tc>
              <w:tc>
                <w:tcPr>
                  <w:tcW w:w="3069"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lang w:val="en-GB"/>
                    </w:rPr>
                  </w:pPr>
                  <w:r>
                    <w:rPr>
                      <w:rFonts w:cs="Tahoma" w:ascii="Cambria" w:hAnsi="Cambria" w:asciiTheme="majorHAnsi" w:hAnsiTheme="majorHAnsi"/>
                      <w:color w:val="000000" w:themeColor="text1"/>
                      <w:sz w:val="16"/>
                      <w:szCs w:val="16"/>
                      <w:lang w:val="en-GB"/>
                    </w:rPr>
                    <w:t>VMWare, Hyper-V, Citrix, On-prem Dell,  EMC, Cisco and HPE infra devices</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5"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7" descr=""/>
                                <pic:cNvPicPr>
                                  <a:picLocks noChangeAspect="1" noChangeArrowheads="1"/>
                                </pic:cNvPicPr>
                              </pic:nvPicPr>
                              <pic:blipFill>
                                <a:blip r:embed="rId17"/>
                                <a:stretch>
                                  <a:fillRect/>
                                </a:stretch>
                              </pic:blipFill>
                              <pic:spPr bwMode="auto">
                                <a:xfrm>
                                  <a:off x="0" y="0"/>
                                  <a:ext cx="242570" cy="193040"/>
                                </a:xfrm>
                                <a:prstGeom prst="rect">
                                  <a:avLst/>
                                </a:prstGeom>
                              </pic:spPr>
                            </pic:pic>
                          </a:graphicData>
                        </a:graphic>
                      </wp:inline>
                    </w:drawing>
                  </w:r>
                </w:p>
              </w:tc>
              <w:tc>
                <w:tcPr>
                  <w:tcW w:w="3070"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ServiceNow, Jira, ConnectWise, Confluence Project management</w:t>
                  </w:r>
                </w:p>
              </w:tc>
              <w:tc>
                <w:tcPr>
                  <w:tcW w:w="718" w:type="dxa"/>
                  <w:tcBorders>
                    <w:top w:val="nil"/>
                    <w:left w:val="nil"/>
                    <w:bottom w:val="nil"/>
                    <w:right w:val="nil"/>
                    <w:insideH w:val="nil"/>
                    <w:insideV w:val="nil"/>
                  </w:tcBorders>
                  <w:shd w:fill="auto" w:val="clear"/>
                </w:tcPr>
                <w:p>
                  <w:pPr>
                    <w:pStyle w:val="Normal"/>
                    <w:spacing w:lineRule="auto" w:line="240" w:before="0" w:after="0"/>
                    <w:jc w:val="both"/>
                    <w:rPr>
                      <w:rFonts w:ascii="Cambria" w:hAnsi="Cambria" w:cs="Tahoma" w:asciiTheme="majorHAnsi" w:hAnsiTheme="majorHAnsi"/>
                      <w:color w:val="000000" w:themeColor="text1"/>
                      <w:sz w:val="16"/>
                      <w:szCs w:val="16"/>
                    </w:rPr>
                  </w:pPr>
                  <w:r>
                    <w:rPr/>
                    <w:drawing>
                      <wp:inline distT="0" distB="0" distL="0" distR="5715">
                        <wp:extent cx="242570" cy="193040"/>
                        <wp:effectExtent l="0" t="0" r="0" b="0"/>
                        <wp:docPr id="16"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3" descr=""/>
                                <pic:cNvPicPr>
                                  <a:picLocks noChangeAspect="1" noChangeArrowheads="1"/>
                                </pic:cNvPicPr>
                              </pic:nvPicPr>
                              <pic:blipFill>
                                <a:blip r:embed="rId18"/>
                                <a:stretch>
                                  <a:fillRect/>
                                </a:stretch>
                              </pic:blipFill>
                              <pic:spPr bwMode="auto">
                                <a:xfrm>
                                  <a:off x="0" y="0"/>
                                  <a:ext cx="242570" cy="193040"/>
                                </a:xfrm>
                                <a:prstGeom prst="rect">
                                  <a:avLst/>
                                </a:prstGeom>
                              </pic:spPr>
                            </pic:pic>
                          </a:graphicData>
                        </a:graphic>
                      </wp:inline>
                    </w:drawing>
                  </w:r>
                </w:p>
              </w:tc>
              <w:tc>
                <w:tcPr>
                  <w:tcW w:w="3067"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asciiTheme="majorHAnsi" w:hAnsiTheme="majorHAnsi"/>
                      <w:color w:val="000000" w:themeColor="text1"/>
                      <w:sz w:val="16"/>
                      <w:szCs w:val="16"/>
                    </w:rPr>
                  </w:pPr>
                  <w:r>
                    <w:rPr>
                      <w:rFonts w:cs="Tahoma" w:ascii="Cambria" w:hAnsi="Cambria" w:asciiTheme="majorHAnsi" w:hAnsiTheme="majorHAnsi"/>
                      <w:color w:val="000000" w:themeColor="text1"/>
                      <w:sz w:val="16"/>
                      <w:szCs w:val="16"/>
                    </w:rPr>
                    <w:t>Machine Learning, Data Visualization, Data Analytics Project Management</w:t>
                  </w:r>
                </w:p>
              </w:tc>
            </w:tr>
          </w:tbl>
          <w:p>
            <w:pPr>
              <w:pStyle w:val="Normal"/>
              <w:spacing w:before="0" w:after="0"/>
              <w:jc w:val="both"/>
              <w:rPr>
                <w:rFonts w:ascii="Cambria" w:hAnsi="Cambria" w:cs="Tahoma"/>
                <w:b/>
                <w:b/>
                <w:color w:val="154960"/>
                <w:sz w:val="24"/>
              </w:rPr>
            </w:pPr>
            <w:r>
              <w:rPr/>
              <w:drawing>
                <wp:inline distT="0" distB="0" distL="0" distR="0">
                  <wp:extent cx="228600" cy="228600"/>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19"/>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PROFILE HIGHLIGHTS</w:t>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Waterfall Project Management Excellence:</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Led multifaceted IT and Network Infrastructure projects, managing scope baselines and governance controls, demonstrating proven success in end-to-end project delivery.</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Successfully executed Transition &amp; Transformation/Migration of Servers, Applications, Databases, and Core Network Infrastructure (LAN/WAN, Firewalls, Load Balancers, Routing/Switching) ,</w:t>
            </w:r>
            <w:r>
              <w:rPr>
                <w:rFonts w:cs="Tahoma" w:ascii="Cambria" w:hAnsi="Cambria" w:asciiTheme="majorHAnsi" w:hAnsiTheme="majorHAnsi"/>
                <w:color w:val="000000" w:themeColor="text1"/>
                <w:sz w:val="18"/>
                <w:szCs w:val="18"/>
              </w:rPr>
              <w:t xml:space="preserve">Data center  </w:t>
            </w:r>
            <w:r>
              <w:rPr>
                <w:rFonts w:ascii="Cambria" w:hAnsi="Cambria"/>
                <w:sz w:val="18"/>
                <w:szCs w:val="18"/>
              </w:rPr>
              <w:t>to On-Prem and Cloud (Azure) platforms.</w:t>
            </w:r>
          </w:p>
          <w:p>
            <w:pPr>
              <w:pStyle w:val="Normal"/>
              <w:numPr>
                <w:ilvl w:val="0"/>
                <w:numId w:val="1"/>
              </w:numPr>
              <w:spacing w:before="0" w:after="0"/>
              <w:jc w:val="both"/>
              <w:rPr>
                <w:rFonts w:ascii="Cambria" w:hAnsi="Cambria"/>
                <w:b/>
                <w:b/>
                <w:sz w:val="18"/>
                <w:szCs w:val="18"/>
              </w:rPr>
            </w:pPr>
            <w:r>
              <w:rPr>
                <w:rFonts w:ascii="Cambria" w:hAnsi="Cambria"/>
                <w:sz w:val="18"/>
                <w:szCs w:val="18"/>
              </w:rPr>
              <w:t>Applied structured Project Management best practices to ensure seamless execution of infrastructure and network modernization initiatives within defined timelines and budgets.</w:t>
            </w:r>
          </w:p>
          <w:p>
            <w:pPr>
              <w:pStyle w:val="Normal"/>
              <w:spacing w:before="0" w:after="0"/>
              <w:ind w:left="360" w:hanging="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sz w:val="18"/>
                <w:szCs w:val="18"/>
              </w:rPr>
            </w:pPr>
            <w:r>
              <w:rPr>
                <w:rFonts w:ascii="Cambria" w:hAnsi="Cambria"/>
                <w:b/>
                <w:i/>
                <w:color w:val="4F81BD" w:themeColor="accent1"/>
                <w:sz w:val="18"/>
                <w:szCs w:val="18"/>
              </w:rPr>
              <w:t>Agile Project Management and Client Relationship</w:t>
            </w:r>
            <w:r>
              <w:rPr>
                <w:rFonts w:ascii="Cambria" w:hAnsi="Cambria"/>
                <w:b/>
                <w:sz w:val="18"/>
                <w:szCs w:val="18"/>
              </w:rPr>
              <w:t>:</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Applied SAFe Agile methodology as a Scrum Master, overseeing Agile release trains, iteration planning, and continuous deployment across infrastructure, network, and cloud transformation programs.</w:t>
            </w:r>
          </w:p>
          <w:p>
            <w:pPr>
              <w:pStyle w:val="Normal"/>
              <w:numPr>
                <w:ilvl w:val="0"/>
                <w:numId w:val="1"/>
              </w:numPr>
              <w:spacing w:before="0" w:after="0"/>
              <w:jc w:val="both"/>
              <w:rPr>
                <w:rFonts w:ascii="Cambria" w:hAnsi="Cambria"/>
                <w:b/>
                <w:b/>
                <w:i/>
                <w:i/>
                <w:color w:val="4F81BD" w:themeColor="accent1"/>
                <w:sz w:val="18"/>
                <w:szCs w:val="18"/>
              </w:rPr>
            </w:pPr>
            <w:r>
              <w:rPr>
                <w:rFonts w:ascii="Cambria" w:hAnsi="Cambria"/>
                <w:sz w:val="18"/>
                <w:szCs w:val="18"/>
              </w:rPr>
              <w:t>Ensured client satisfaction by proactively addressing emerging infrastructure and network-related issues (connectivity, bandwidth, firewall policies, latency), optimizing resource allocation, and maintaining scope, quality, and schedule commitments.</w:t>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Infrastructure Management Expertise:</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Managed extensive infrastructure and network transformation projects, including Service Desk transitions, EOL Windows/Unix/Linux server migrations, virtualization, cloud enablement (Azure/AWS/GCP), WAN migrations, firewall upgrades, and SD-WAN implementations.</w:t>
            </w:r>
          </w:p>
          <w:p>
            <w:pPr>
              <w:pStyle w:val="Normal"/>
              <w:numPr>
                <w:ilvl w:val="0"/>
                <w:numId w:val="1"/>
              </w:numPr>
              <w:spacing w:before="0" w:after="0"/>
              <w:jc w:val="both"/>
              <w:rPr>
                <w:rFonts w:ascii="Cambria" w:hAnsi="Cambria"/>
                <w:b/>
                <w:b/>
                <w:i/>
                <w:i/>
                <w:color w:val="4F81BD" w:themeColor="accent1"/>
                <w:sz w:val="18"/>
                <w:szCs w:val="18"/>
              </w:rPr>
            </w:pPr>
            <w:r>
              <w:rPr>
                <w:rFonts w:ascii="Cambria" w:hAnsi="Cambria"/>
                <w:sz w:val="18"/>
                <w:szCs w:val="18"/>
              </w:rPr>
              <w:t>Delivered Wi-Fi transformation, SD-WAN rollout, Citrix to Shared Desktop migrations, and Storage (NAS/SAN) enablement projects with integrated network optimization.</w:t>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Datacenter/Cloud Migration and Datacenter Consolidation:</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Led Lift &amp; Shift of servers, racking &amp; stacking of devices, network re-cabling, VLAN reconfiguration, IP schema redesign, and Datacenter migration from On-Prem to Azure Cloud.</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Successfully managed Cloud Migration programs including Application/Database migration to Azure with secure VPN/ExpressRoute connectivity and network performance optimization.</w:t>
            </w:r>
          </w:p>
          <w:p>
            <w:pPr>
              <w:pStyle w:val="Normal"/>
              <w:numPr>
                <w:ilvl w:val="0"/>
                <w:numId w:val="1"/>
              </w:numPr>
              <w:spacing w:before="0" w:after="0"/>
              <w:jc w:val="both"/>
              <w:rPr>
                <w:rFonts w:ascii="Cambria" w:hAnsi="Cambria"/>
                <w:b/>
                <w:b/>
                <w:i/>
                <w:i/>
                <w:color w:val="4F81BD" w:themeColor="accent1"/>
                <w:sz w:val="18"/>
                <w:szCs w:val="18"/>
              </w:rPr>
            </w:pPr>
            <w:r>
              <w:rPr>
                <w:rFonts w:ascii="Cambria" w:hAnsi="Cambria"/>
                <w:sz w:val="18"/>
                <w:szCs w:val="18"/>
              </w:rPr>
              <w:t>Executed Datacenter Consolidation through Physical-to-Virtual migrations, database migrations (ASM &amp; Exadata), VCS and Oracle RAC cluster implementations with aligned network and load balancer configurations.</w:t>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Security and Compliance Management:</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Implemented Cybersecurity &amp; Vulnerability Management tools (Tenable/Qualys/Tanium) across infrastructure and network environments, ensuring secure migration of 100+ accounts and adherence to Change Management processes.</w:t>
            </w:r>
          </w:p>
          <w:p>
            <w:pPr>
              <w:pStyle w:val="Normal"/>
              <w:numPr>
                <w:ilvl w:val="0"/>
                <w:numId w:val="1"/>
              </w:numPr>
              <w:spacing w:before="0" w:after="0"/>
              <w:jc w:val="both"/>
              <w:rPr>
                <w:rFonts w:ascii="Cambria" w:hAnsi="Cambria"/>
                <w:b/>
                <w:b/>
                <w:i/>
                <w:i/>
                <w:color w:val="4F81BD" w:themeColor="accent1"/>
                <w:sz w:val="18"/>
                <w:szCs w:val="18"/>
              </w:rPr>
            </w:pPr>
            <w:r>
              <w:rPr>
                <w:rFonts w:ascii="Cambria" w:hAnsi="Cambria"/>
                <w:sz w:val="18"/>
                <w:szCs w:val="18"/>
              </w:rPr>
              <w:t>Ensured compliance and security controls across network perimeters, firewall policies, access controls, and secure connectivity during transition projects, including large enterprise transitions.</w:t>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Tool Deployment and Transformation Leadership:</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Served as Transition &amp; Transformation Tools PM, deploying monitoring and network observability tools such as Splunk, ITM, Netcool,  SolarWinds, Veeam, and NetBackup across infrastructure and network ecosystems.</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Enhanced PMO governance frameworks and delivery methodologies to improve predictability and transparency.</w:t>
            </w:r>
          </w:p>
          <w:p>
            <w:pPr>
              <w:pStyle w:val="Normal"/>
              <w:numPr>
                <w:ilvl w:val="0"/>
                <w:numId w:val="1"/>
              </w:numPr>
              <w:spacing w:before="0" w:after="0"/>
              <w:jc w:val="both"/>
              <w:rPr>
                <w:rFonts w:ascii="Cambria" w:hAnsi="Cambria"/>
                <w:b/>
                <w:b/>
                <w:i/>
                <w:i/>
                <w:color w:val="4F81BD" w:themeColor="accent1"/>
                <w:sz w:val="18"/>
                <w:szCs w:val="18"/>
              </w:rPr>
            </w:pPr>
            <w:r>
              <w:rPr>
                <w:rFonts w:ascii="Cambria" w:hAnsi="Cambria"/>
                <w:sz w:val="18"/>
                <w:szCs w:val="18"/>
              </w:rPr>
              <w:t>Acted as a servant leader driving infrastructure standardization, network optimization, and service delivery best practices across programs.</w:t>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AI/ML &amp; Data Sciences Expertise:</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Spearheaded the migration of N-Able Application to Virtual Platform and facilitated Cloud/DevOps-based Application Development, Automation, and Migration.</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Developed a Unified Command Center based on Azure Data Lake, Azure Data Factory, Power App, Power BI, Purview and other technologies for Data Science/Engineering.</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 xml:space="preserve">Performed data analysis based on past 20 years of data using R, Python and SQL, created dashboards, reports using data visualization techniques and plots </w:t>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ServiceNow and ConnectWise footprints:</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Successfully led multiple projects of setting up Incident Management, Project Management and Change Management module with ServiceNow and ConnectWise while service desk / service lines transition.</w:t>
            </w:r>
          </w:p>
          <w:p>
            <w:pPr>
              <w:pStyle w:val="Normal"/>
              <w:spacing w:before="0" w:after="0"/>
              <w:jc w:val="both"/>
              <w:rPr>
                <w:rFonts w:ascii="Cambria" w:hAnsi="Cambria"/>
                <w:sz w:val="18"/>
                <w:szCs w:val="18"/>
              </w:rPr>
            </w:pPr>
            <w:r>
              <w:rPr>
                <w:rFonts w:ascii="Cambria" w:hAnsi="Cambria"/>
                <w:sz w:val="18"/>
                <w:szCs w:val="18"/>
              </w:rPr>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PM Team management:</w:t>
            </w:r>
          </w:p>
          <w:p>
            <w:pPr>
              <w:pStyle w:val="ListParagraph"/>
              <w:numPr>
                <w:ilvl w:val="0"/>
                <w:numId w:val="1"/>
              </w:numPr>
              <w:spacing w:lineRule="auto" w:line="276" w:before="0" w:after="200"/>
              <w:contextualSpacing/>
              <w:jc w:val="both"/>
              <w:rPr>
                <w:rFonts w:ascii="Cambria" w:hAnsi="Cambria"/>
                <w:sz w:val="18"/>
                <w:szCs w:val="18"/>
              </w:rPr>
            </w:pPr>
            <w:r>
              <w:rPr>
                <w:rFonts w:ascii="Cambria" w:hAnsi="Cambria"/>
                <w:sz w:val="18"/>
                <w:szCs w:val="18"/>
              </w:rPr>
              <w:t xml:space="preserve">Have experience of managing 1-3 Project managers </w:t>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DR Experience:</w:t>
            </w:r>
          </w:p>
          <w:p>
            <w:pPr>
              <w:pStyle w:val="ListParagraph"/>
              <w:numPr>
                <w:ilvl w:val="0"/>
                <w:numId w:val="1"/>
              </w:numPr>
              <w:spacing w:lineRule="auto" w:line="276" w:before="0" w:after="200"/>
              <w:contextualSpacing/>
              <w:jc w:val="both"/>
              <w:rPr>
                <w:rFonts w:ascii="Cambria" w:hAnsi="Cambria"/>
                <w:sz w:val="18"/>
                <w:szCs w:val="18"/>
              </w:rPr>
            </w:pPr>
            <w:r>
              <w:rPr>
                <w:rFonts w:ascii="Cambria" w:hAnsi="Cambria"/>
                <w:sz w:val="18"/>
                <w:szCs w:val="18"/>
              </w:rPr>
              <w:t>I have hands on experience in Disaster recovery of all the clustered and non-clustered Unix/ Hyper-V/ VMWare based infrastructure and applications on various sites globally. DR exercise was conducted in 2014, 2015 and 2016 onsite via tape backup, Evault Cloud backup and load balancer failover.</w:t>
            </w:r>
          </w:p>
          <w:p>
            <w:pPr>
              <w:pStyle w:val="Normal"/>
              <w:spacing w:before="0" w:after="0"/>
              <w:jc w:val="both"/>
              <w:rPr>
                <w:rFonts w:ascii="Cambria" w:hAnsi="Cambria"/>
                <w:b/>
                <w:b/>
                <w:i/>
                <w:i/>
                <w:color w:val="4F81BD" w:themeColor="accent1"/>
                <w:sz w:val="18"/>
                <w:szCs w:val="18"/>
              </w:rPr>
            </w:pPr>
            <w:r>
              <w:rPr>
                <w:rFonts w:ascii="Cambria" w:hAnsi="Cambria"/>
                <w:b/>
                <w:i/>
                <w:color w:val="4F81BD" w:themeColor="accent1"/>
                <w:sz w:val="18"/>
                <w:szCs w:val="18"/>
              </w:rPr>
              <w:t>Leadership and Team Management:</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Serving as a Change Agent for the organization, offering innovative profitable solutions for complex business problems.</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Led, trained, and monitored high-performing multi-cultural teams, ensuring high morale and low attrition.</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Coordinated cross</w:t>
              <w:noBreakHyphen/>
              <w:t>programme dependencies across technology, product, and vendor teams to ensure aligned delivery.</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People Leader, who has successfully led and motivated teams in cross-cultural environment towards growth and success in the organization, created a clear &amp; compelling view of future through coaching and execution.</w:t>
            </w:r>
          </w:p>
          <w:p>
            <w:pPr>
              <w:pStyle w:val="ListParagraph"/>
              <w:numPr>
                <w:ilvl w:val="0"/>
                <w:numId w:val="1"/>
              </w:numPr>
              <w:spacing w:before="0" w:after="0"/>
              <w:contextualSpacing/>
              <w:jc w:val="both"/>
              <w:rPr>
                <w:rFonts w:ascii="Cambria" w:hAnsi="Cambria"/>
                <w:sz w:val="18"/>
                <w:szCs w:val="18"/>
              </w:rPr>
            </w:pPr>
            <w:r>
              <w:rPr>
                <w:rFonts w:ascii="Cambria" w:hAnsi="Cambria"/>
                <w:sz w:val="18"/>
                <w:szCs w:val="18"/>
              </w:rPr>
              <w:t>Partnered with Product Owners and IT leadership to align delivery outcomes with strategic priorities.</w:t>
            </w:r>
          </w:p>
          <w:p>
            <w:pPr>
              <w:pStyle w:val="ListParagraph"/>
              <w:numPr>
                <w:ilvl w:val="0"/>
                <w:numId w:val="1"/>
              </w:numPr>
              <w:spacing w:before="0" w:after="0"/>
              <w:contextualSpacing/>
              <w:jc w:val="both"/>
              <w:rPr>
                <w:rFonts w:ascii="Cambria" w:hAnsi="Cambria"/>
                <w:sz w:val="20"/>
              </w:rPr>
            </w:pPr>
            <w:r>
              <w:rPr>
                <w:rFonts w:ascii="Cambria" w:hAnsi="Cambria"/>
                <w:sz w:val="18"/>
                <w:szCs w:val="18"/>
              </w:rPr>
              <w:t>A strategist with recognized proficiency in spearheading business to accomplish corporate plans and goals successfully.</w:t>
            </w:r>
          </w:p>
          <w:p>
            <w:pPr>
              <w:pStyle w:val="Normal"/>
              <w:spacing w:before="0" w:after="0"/>
              <w:rPr>
                <w:rFonts w:ascii="Cambria" w:hAnsi="Cambria" w:cs="Tahoma" w:asciiTheme="majorHAnsi" w:hAnsiTheme="majorHAnsi"/>
                <w:b/>
                <w:b/>
                <w:color w:val="154960"/>
                <w:sz w:val="24"/>
              </w:rPr>
            </w:pPr>
            <w:r>
              <w:rPr/>
              <w:drawing>
                <wp:inline distT="0" distB="7620" distL="0" distR="0">
                  <wp:extent cx="228600" cy="220980"/>
                  <wp:effectExtent l="0" t="0" r="0" b="0"/>
                  <wp:docPr id="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0"/>
                          <a:stretch>
                            <a:fillRect/>
                          </a:stretch>
                        </pic:blipFill>
                        <pic:spPr bwMode="auto">
                          <a:xfrm>
                            <a:off x="0" y="0"/>
                            <a:ext cx="228600" cy="220980"/>
                          </a:xfrm>
                          <a:prstGeom prst="rect">
                            <a:avLst/>
                          </a:prstGeom>
                        </pic:spPr>
                      </pic:pic>
                    </a:graphicData>
                  </a:graphic>
                </wp:inline>
              </w:drawing>
            </w:r>
            <w:r>
              <w:rPr>
                <w:rFonts w:cs="Tahoma" w:ascii="Cambria" w:hAnsi="Cambria" w:asciiTheme="majorHAnsi" w:hAnsiTheme="majorHAnsi"/>
                <w:b/>
                <w:color w:val="154960"/>
                <w:sz w:val="24"/>
              </w:rPr>
              <w:t xml:space="preserve"> </w:t>
            </w:r>
            <w:r>
              <w:rPr>
                <w:rFonts w:cs="Tahoma" w:ascii="Cambria" w:hAnsi="Cambria" w:asciiTheme="majorHAnsi" w:hAnsiTheme="majorHAnsi"/>
                <w:b/>
                <w:color w:val="154960"/>
                <w:sz w:val="24"/>
              </w:rPr>
              <w:t>CAREER TIMELINE</w:t>
            </w:r>
          </w:p>
          <w:p>
            <w:pPr>
              <w:pStyle w:val="Normal"/>
              <w:spacing w:before="0" w:after="0"/>
              <w:rPr>
                <w:rFonts w:ascii="Cambria" w:hAnsi="Cambria" w:cs="Tahoma" w:asciiTheme="majorHAnsi" w:hAnsiTheme="majorHAnsi"/>
                <w:b/>
                <w:b/>
                <w:color w:val="075650"/>
                <w:sz w:val="20"/>
                <w:szCs w:val="20"/>
              </w:rPr>
            </w:pPr>
            <w:r>
              <w:rPr>
                <w:rFonts w:cs="Tahoma" w:ascii="Cambria" w:hAnsi="Cambria" w:asciiTheme="majorHAnsi" w:hAnsiTheme="majorHAnsi"/>
                <w:b/>
                <w:color w:val="075650"/>
                <w:sz w:val="20"/>
                <w:szCs w:val="20"/>
              </w:rPr>
              <w:t>Full Time Regular Employee</w:t>
            </w:r>
          </w:p>
          <w:p>
            <w:pPr>
              <w:pStyle w:val="Normal"/>
              <w:spacing w:before="0" w:after="0"/>
              <w:rPr>
                <w:rFonts w:ascii="Cambria" w:hAnsi="Cambria" w:cs="Tahoma" w:asciiTheme="majorHAnsi" w:hAnsiTheme="majorHAnsi"/>
                <w:b/>
                <w:b/>
                <w:color w:val="075650"/>
              </w:rPr>
            </w:pPr>
            <w:r>
              <w:rPr/>
              <w:drawing>
                <wp:inline distT="0" distB="0" distL="0" distR="0">
                  <wp:extent cx="7030085" cy="845185"/>
                  <wp:effectExtent l="0" t="0" r="0" b="0"/>
                  <wp:docPr id="21" name="Diagram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mc:AlternateContent>
                <mc:Choice Requires="wps">
                  <w:drawing>
                    <wp:anchor behindDoc="0" distT="0" distB="0" distL="114300" distR="114300" simplePos="0" locked="0" layoutInCell="1" allowOverlap="1" relativeHeight="12">
                      <wp:simplePos x="0" y="0"/>
                      <wp:positionH relativeFrom="column">
                        <wp:posOffset>7305040</wp:posOffset>
                      </wp:positionH>
                      <wp:positionV relativeFrom="paragraph">
                        <wp:posOffset>393065</wp:posOffset>
                      </wp:positionV>
                      <wp:extent cx="610235" cy="372110"/>
                      <wp:effectExtent l="0" t="0" r="0" b="0"/>
                      <wp:wrapNone/>
                      <wp:docPr id="19" name="Text Box 20"/>
                      <a:graphic xmlns:a="http://schemas.openxmlformats.org/drawingml/2006/main">
                        <a:graphicData uri="http://schemas.microsoft.com/office/word/2010/wordprocessingShape">
                          <wps:wsp>
                            <wps:cNvSpPr/>
                            <wps:spPr>
                              <a:xfrm>
                                <a:off x="0" y="0"/>
                                <a:ext cx="609480" cy="37152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FrameContents"/>
                                    <w:spacing w:before="0" w:after="200"/>
                                    <w:jc w:val="center"/>
                                    <w:rPr/>
                                  </w:pPr>
                                  <w:r>
                                    <w:rPr/>
                                  </w:r>
                                </w:p>
                              </w:txbxContent>
                            </wps:txbx>
                            <wps:bodyPr>
                              <a:prstTxWarp prst="textNoShape"/>
                              <a:noAutofit/>
                            </wps:bodyPr>
                          </wps:wsp>
                        </a:graphicData>
                      </a:graphic>
                    </wp:anchor>
                  </w:drawing>
                </mc:Choice>
                <mc:Fallback>
                  <w:pict>
                    <v:rect id="shape_0" ID="Text Box 20" stroked="f" style="position:absolute;margin-left:575.2pt;margin-top:30.95pt;width:47.95pt;height:29.2pt">
                      <w10:wrap type="none"/>
                      <v:fill o:detectmouseclick="t" on="false"/>
                      <v:stroke color="#3465a4" weight="6480" joinstyle="round" endcap="flat"/>
                      <v:textbox>
                        <w:txbxContent>
                          <w:p>
                            <w:pPr>
                              <w:pStyle w:val="FrameContents"/>
                              <w:spacing w:before="0" w:after="200"/>
                              <w:jc w:val="center"/>
                              <w:rPr/>
                            </w:pPr>
                            <w:r>
                              <w:rPr/>
                            </w:r>
                          </w:p>
                        </w:txbxContent>
                      </v:textbox>
                    </v:rect>
                  </w:pict>
                </mc:Fallback>
              </mc:AlternateContent>
            </w:r>
          </w:p>
          <w:p>
            <w:pPr>
              <w:pStyle w:val="Normal"/>
              <w:spacing w:before="0" w:after="0"/>
              <w:ind w:firstLine="90"/>
              <w:rPr>
                <w:rFonts w:ascii="Cambria" w:hAnsi="Cambria" w:cs="Tahoma" w:asciiTheme="majorHAnsi" w:hAnsiTheme="majorHAnsi"/>
                <w:b/>
                <w:b/>
                <w:color w:val="075650"/>
                <w:sz w:val="18"/>
                <w:szCs w:val="18"/>
              </w:rPr>
            </w:pPr>
            <w:r>
              <mc:AlternateContent>
                <mc:Choice Requires="wps">
                  <w:drawing>
                    <wp:anchor behindDoc="0" distT="0" distB="0" distL="114300" distR="114300" simplePos="0" locked="0" layoutInCell="1" allowOverlap="1" relativeHeight="11">
                      <wp:simplePos x="0" y="0"/>
                      <wp:positionH relativeFrom="column">
                        <wp:posOffset>7305040</wp:posOffset>
                      </wp:positionH>
                      <wp:positionV relativeFrom="paragraph">
                        <wp:posOffset>226060</wp:posOffset>
                      </wp:positionV>
                      <wp:extent cx="610235" cy="372110"/>
                      <wp:effectExtent l="0" t="0" r="0" b="0"/>
                      <wp:wrapNone/>
                      <wp:docPr id="22" name="Text Box 19"/>
                      <a:graphic xmlns:a="http://schemas.openxmlformats.org/drawingml/2006/main">
                        <a:graphicData uri="http://schemas.microsoft.com/office/word/2010/wordprocessingShape">
                          <wps:wsp>
                            <wps:cNvSpPr/>
                            <wps:spPr>
                              <a:xfrm>
                                <a:off x="0" y="0"/>
                                <a:ext cx="609480" cy="37152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FrameContents"/>
                                    <w:spacing w:before="0" w:after="200"/>
                                    <w:jc w:val="center"/>
                                    <w:rPr/>
                                  </w:pPr>
                                  <w:r>
                                    <w:rPr/>
                                  </w:r>
                                </w:p>
                              </w:txbxContent>
                            </wps:txbx>
                            <wps:bodyPr>
                              <a:prstTxWarp prst="textNoShape"/>
                              <a:noAutofit/>
                            </wps:bodyPr>
                          </wps:wsp>
                        </a:graphicData>
                      </a:graphic>
                    </wp:anchor>
                  </w:drawing>
                </mc:Choice>
                <mc:Fallback>
                  <w:pict>
                    <v:rect id="shape_0" ID="Text Box 19" stroked="f" style="position:absolute;margin-left:575.2pt;margin-top:17.8pt;width:47.95pt;height:29.2pt">
                      <w10:wrap type="none"/>
                      <v:fill o:detectmouseclick="t" on="false"/>
                      <v:stroke color="#3465a4" weight="6480" joinstyle="round" endcap="flat"/>
                      <v:textbox>
                        <w:txbxContent>
                          <w:p>
                            <w:pPr>
                              <w:pStyle w:val="FrameContents"/>
                              <w:spacing w:before="0" w:after="200"/>
                              <w:jc w:val="center"/>
                              <w:rPr/>
                            </w:pPr>
                            <w:r>
                              <w:rPr/>
                            </w:r>
                          </w:p>
                        </w:txbxContent>
                      </v:textbox>
                    </v:rect>
                  </w:pict>
                </mc:Fallback>
              </mc:AlternateContent>
            </w:r>
            <w:r>
              <w:rPr>
                <w:rFonts w:cs="Tahoma" w:ascii="Cambria" w:hAnsi="Cambria" w:asciiTheme="majorHAnsi" w:hAnsiTheme="majorHAnsi"/>
                <w:b/>
                <w:color w:val="075650"/>
                <w:sz w:val="18"/>
                <w:szCs w:val="18"/>
              </w:rPr>
              <w:t>*2003-2006 worked as freelancer for software implementation all over India in different cities.</w:t>
            </w:r>
          </w:p>
          <w:p>
            <w:pPr>
              <w:pStyle w:val="Normal"/>
              <w:spacing w:before="0" w:after="0"/>
              <w:rPr>
                <w:rFonts w:ascii="Cambria" w:hAnsi="Cambria" w:cs="Tahoma"/>
                <w:b/>
                <w:b/>
                <w:color w:val="154960"/>
                <w:sz w:val="24"/>
              </w:rPr>
            </w:pPr>
            <w:r>
              <w:rPr/>
              <w:drawing>
                <wp:inline distT="0" distB="0" distL="0" distR="0">
                  <wp:extent cx="228600" cy="228600"/>
                  <wp:effectExtent l="0" t="0" r="0" b="0"/>
                  <wp:docPr id="24"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8" descr=""/>
                          <pic:cNvPicPr>
                            <a:picLocks noChangeAspect="1" noChangeArrowheads="1"/>
                          </pic:cNvPicPr>
                        </pic:nvPicPr>
                        <pic:blipFill>
                          <a:blip r:embed="rId26"/>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 xml:space="preserve">TECHNICAL PURVIEW </w:t>
            </w:r>
          </w:p>
          <w:p>
            <w:pPr>
              <w:pStyle w:val="Normal"/>
              <w:spacing w:before="0" w:after="0"/>
              <w:jc w:val="both"/>
              <w:rPr>
                <w:rFonts w:ascii="Cambria" w:hAnsi="Cambria" w:cs="Tahoma"/>
                <w:color w:val="6A6969"/>
                <w:sz w:val="20"/>
                <w:szCs w:val="20"/>
                <w:lang w:val="en-GB"/>
              </w:rPr>
            </w:pPr>
            <w:r>
              <w:rPr>
                <w:rFonts w:cs="Tahoma" w:ascii="Cambria" w:hAnsi="Cambria"/>
                <w:color w:val="6A6969"/>
                <w:sz w:val="20"/>
                <w:szCs w:val="20"/>
                <w:lang w:val="en-GB"/>
              </w:rPr>
            </w:r>
          </w:p>
          <w:p>
            <w:pPr>
              <w:pStyle w:val="Normal"/>
              <w:tabs>
                <w:tab w:val="left" w:pos="10800" w:leader="none"/>
              </w:tabs>
              <w:spacing w:lineRule="auto" w:line="276" w:before="0" w:after="0"/>
              <w:jc w:val="both"/>
              <w:rPr/>
            </w:pPr>
            <w:r>
              <w:rPr>
                <w:rFonts w:cs="Calibri" w:ascii="Cambria" w:hAnsi="Cambria" w:cstheme="minorHAnsi"/>
                <w:b/>
                <w:bCs/>
                <w:sz w:val="18"/>
                <w:szCs w:val="18"/>
              </w:rPr>
              <w:t>Transition</w:t>
            </w:r>
            <w:r>
              <w:rPr>
                <w:rFonts w:cs="Calibri" w:ascii="Georgia" w:hAnsi="Georgia" w:cstheme="minorHAnsi"/>
                <w:b/>
                <w:bCs/>
                <w:sz w:val="18"/>
                <w:szCs w:val="18"/>
              </w:rPr>
              <w:t xml:space="preserve"> Management /</w:t>
            </w:r>
            <w:r>
              <w:rPr>
                <w:rFonts w:cs="Calibri" w:ascii="Georgia" w:hAnsi="Georgia" w:cstheme="minorHAnsi"/>
                <w:b/>
                <w:bCs/>
                <w:sz w:val="18"/>
                <w:szCs w:val="18"/>
              </w:rPr>
              <w:t xml:space="preserve">Project Management </w:t>
            </w:r>
            <w:r>
              <w:rPr>
                <w:rFonts w:cs="Calibri" w:ascii="Georgia" w:hAnsi="Georgia" w:cstheme="minorHAnsi"/>
                <w:sz w:val="18"/>
                <w:szCs w:val="18"/>
              </w:rPr>
              <w:t xml:space="preserve"> </w:t>
            </w:r>
            <w:r>
              <w:rPr>
                <w:rFonts w:cs="Calibri" w:ascii="Georgia" w:hAnsi="Georgia" w:cstheme="minorHAnsi"/>
                <w:b/>
                <w:bCs/>
                <w:sz w:val="18"/>
                <w:szCs w:val="18"/>
              </w:rPr>
              <w:t>Skills (Waterfall/Agile-Safe)</w:t>
            </w:r>
          </w:p>
          <w:tbl>
            <w:tblPr>
              <w:tblStyle w:val="PlainTable1"/>
              <w:tblW w:w="10964" w:type="dxa"/>
              <w:jc w:val="left"/>
              <w:tblInd w:w="0" w:type="dxa"/>
              <w:tblCellMar>
                <w:top w:w="0" w:type="dxa"/>
                <w:left w:w="103" w:type="dxa"/>
                <w:bottom w:w="0" w:type="dxa"/>
                <w:right w:w="108" w:type="dxa"/>
              </w:tblCellMar>
              <w:tblLook w:val="04a0"/>
            </w:tblPr>
            <w:tblGrid>
              <w:gridCol w:w="10964"/>
            </w:tblGrid>
            <w:tr>
              <w:trPr>
                <w:trHeight w:val="288" w:hRule="atLeast"/>
              </w:trPr>
              <w:tc>
                <w:tcPr>
                  <w:tcW w:w="10964" w:type="dxa"/>
                  <w:tcBorders/>
                  <w:shd w:fill="auto" w:val="clear"/>
                  <w:vAlign w:val="center"/>
                </w:tcPr>
                <w:p>
                  <w:pPr>
                    <w:pStyle w:val="ListParagraph"/>
                    <w:numPr>
                      <w:ilvl w:val="0"/>
                      <w:numId w:val="2"/>
                    </w:numPr>
                    <w:tabs>
                      <w:tab w:val="left" w:pos="10800" w:leader="none"/>
                    </w:tabs>
                    <w:spacing w:lineRule="auto" w:line="240" w:before="0" w:after="0"/>
                    <w:contextualSpacing/>
                    <w:rPr>
                      <w:rFonts w:ascii="Cambria" w:hAnsi="Cambria" w:cs="Calibri" w:asciiTheme="majorHAnsi" w:cstheme="minorHAnsi" w:hAnsiTheme="majorHAnsi"/>
                      <w:b w:val="false"/>
                      <w:b w:val="false"/>
                      <w:bCs w:val="false"/>
                      <w:sz w:val="18"/>
                      <w:szCs w:val="18"/>
                    </w:rPr>
                  </w:pPr>
                  <w:r>
                    <w:rPr>
                      <w:rFonts w:cs="Calibri" w:ascii="Cambria" w:hAnsi="Cambria" w:asciiTheme="majorHAnsi" w:cstheme="minorHAnsi" w:hAnsiTheme="majorHAnsi"/>
                      <w:b w:val="false"/>
                      <w:bCs/>
                      <w:sz w:val="18"/>
                      <w:szCs w:val="18"/>
                    </w:rPr>
                    <w:t>Project Management Best Practices, Contribution for Request for Proposal (RFP) &amp; Statement of Work (SOW) Preparation, Capacity Planning &amp; Effort Estimation</w:t>
                  </w:r>
                </w:p>
              </w:tc>
            </w:tr>
            <w:tr>
              <w:trPr>
                <w:trHeight w:val="288" w:hRule="atLeast"/>
              </w:trPr>
              <w:tc>
                <w:tcPr>
                  <w:tcW w:w="10964" w:type="dxa"/>
                  <w:tcBorders/>
                  <w:shd w:color="auto" w:fill="F2F2F2" w:themeFill="background1" w:themeFillShade="f2"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Project Charter, Scope/Schedule/Cost Baselines Control. T&amp;M/Fixed Price Cost/Budget Management using Jira</w:t>
                  </w:r>
                </w:p>
              </w:tc>
            </w:tr>
            <w:tr>
              <w:trPr>
                <w:trHeight w:val="288" w:hRule="atLeast"/>
              </w:trPr>
              <w:tc>
                <w:tcPr>
                  <w:tcW w:w="10964" w:type="dxa"/>
                  <w:tcBorders/>
                  <w:shd w:fill="auto"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 xml:space="preserve">Project Team Management, Procurement, Vendor &amp; Stakeholder/Communication Management. </w:t>
                  </w:r>
                </w:p>
              </w:tc>
            </w:tr>
            <w:tr>
              <w:trPr>
                <w:trHeight w:val="288" w:hRule="atLeast"/>
              </w:trPr>
              <w:tc>
                <w:tcPr>
                  <w:tcW w:w="10964" w:type="dxa"/>
                  <w:tcBorders/>
                  <w:shd w:color="auto" w:fill="F2F2F2" w:themeFill="background1" w:themeFillShade="f2"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Risk Assessment &amp; Mitigation, Quality Assurance, Procurement Management</w:t>
                  </w:r>
                </w:p>
              </w:tc>
            </w:tr>
            <w:tr>
              <w:trPr>
                <w:trHeight w:val="288" w:hRule="atLeast"/>
              </w:trPr>
              <w:tc>
                <w:tcPr>
                  <w:tcW w:w="10964" w:type="dxa"/>
                  <w:tcBorders/>
                  <w:shd w:fill="auto"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cstheme="minorHAnsi" w:ascii="Cambria" w:hAnsi="Cambria"/>
                      <w:b/>
                      <w:bCs/>
                      <w:sz w:val="16"/>
                      <w:szCs w:val="16"/>
                    </w:rPr>
                    <w:t>Scrum Ceremonies: Sprint Planning, Daily Scrum, Sprint Review, Sprint Retrospective, Sprint Backlog</w:t>
                  </w:r>
                </w:p>
              </w:tc>
            </w:tr>
            <w:tr>
              <w:trPr>
                <w:trHeight w:val="288" w:hRule="atLeast"/>
              </w:trPr>
              <w:tc>
                <w:tcPr>
                  <w:tcW w:w="10964" w:type="dxa"/>
                  <w:tcBorders/>
                  <w:shd w:color="auto" w:fill="F2F2F2" w:themeFill="background1" w:themeFillShade="f2"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cstheme="minorHAnsi" w:ascii="Cambria" w:hAnsi="Cambria"/>
                      <w:b/>
                      <w:bCs/>
                      <w:sz w:val="16"/>
                      <w:szCs w:val="16"/>
                    </w:rPr>
                    <w:t xml:space="preserve">Safe Methodology: Agile Release Train, </w:t>
                  </w:r>
                  <w:r>
                    <w:rPr>
                      <w:rFonts w:cs="Calibri" w:cstheme="minorHAnsi" w:ascii="Cambria" w:hAnsi="Cambria"/>
                      <w:b/>
                      <w:bCs/>
                      <w:color w:val="000000"/>
                      <w:sz w:val="16"/>
                      <w:szCs w:val="16"/>
                    </w:rPr>
                    <w:t>Data center,</w:t>
                  </w:r>
                  <w:r>
                    <w:rPr>
                      <w:rFonts w:cs="Calibri" w:cstheme="minorHAnsi" w:ascii="Cambria" w:hAnsi="Cambria"/>
                      <w:b/>
                      <w:bCs/>
                      <w:sz w:val="16"/>
                      <w:szCs w:val="16"/>
                    </w:rPr>
                    <w:t xml:space="preserve"> PI Planning, Iteration ceremenoies: Iteration planning, Iteration review, Iteration Execution, Iteration retrospective, Timeboxing, pair programming, Team Sync, Team/Iteration Backlog, Release Train Engineer &amp; Release Management</w:t>
                  </w:r>
                </w:p>
              </w:tc>
            </w:tr>
            <w:tr>
              <w:trPr>
                <w:trHeight w:val="288" w:hRule="atLeast"/>
              </w:trPr>
              <w:tc>
                <w:tcPr>
                  <w:tcW w:w="10964" w:type="dxa"/>
                  <w:tcBorders/>
                  <w:shd w:fill="auto" w:val="clear"/>
                  <w:vAlign w:val="center"/>
                </w:tcPr>
                <w:p>
                  <w:pPr>
                    <w:pStyle w:val="ListParagraph"/>
                    <w:numPr>
                      <w:ilvl w:val="0"/>
                      <w:numId w:val="2"/>
                    </w:numPr>
                    <w:tabs>
                      <w:tab w:val="left" w:pos="10800" w:leader="none"/>
                    </w:tabs>
                    <w:spacing w:lineRule="auto" w:line="240" w:before="0" w:after="0"/>
                    <w:contextualSpacing/>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Microsoft Project Plan, JIRA, Azure ADO, Kanban, Microsoft Visio, Sharepoint</w:t>
                  </w:r>
                </w:p>
              </w:tc>
            </w:tr>
            <w:tr>
              <w:trPr>
                <w:trHeight w:val="288" w:hRule="atLeast"/>
              </w:trPr>
              <w:tc>
                <w:tcPr>
                  <w:tcW w:w="10964" w:type="dxa"/>
                  <w:tcBorders/>
                  <w:shd w:color="auto" w:fill="F2F2F2" w:themeFill="background1" w:themeFillShade="f2" w:val="clear"/>
                  <w:vAlign w:val="center"/>
                </w:tcPr>
                <w:p>
                  <w:pPr>
                    <w:pStyle w:val="ListParagraph"/>
                    <w:numPr>
                      <w:ilvl w:val="0"/>
                      <w:numId w:val="2"/>
                    </w:numPr>
                    <w:tabs>
                      <w:tab w:val="left" w:pos="10800" w:leader="none"/>
                    </w:tabs>
                    <w:spacing w:lineRule="auto" w:line="240" w:before="0" w:after="0"/>
                    <w:contextualSpacing/>
                    <w:rPr>
                      <w:rFonts w:cs="Calibri" w:cstheme="minorHAnsi"/>
                      <w:b w:val="false"/>
                      <w:b w:val="false"/>
                      <w:sz w:val="20"/>
                      <w:szCs w:val="18"/>
                    </w:rPr>
                  </w:pPr>
                  <w:r>
                    <w:rPr>
                      <w:rFonts w:cs="Calibri" w:ascii="Cambria" w:hAnsi="Cambria" w:asciiTheme="majorHAnsi" w:cstheme="minorHAnsi" w:hAnsiTheme="majorHAnsi"/>
                      <w:b/>
                      <w:bCs/>
                      <w:sz w:val="18"/>
                      <w:szCs w:val="18"/>
                    </w:rPr>
                    <w:t xml:space="preserve">Transition Management: </w:t>
                  </w:r>
                  <w:r>
                    <w:rPr>
                      <w:rFonts w:cs="Calibri" w:ascii="Cambria" w:hAnsi="Cambria" w:asciiTheme="majorHAnsi" w:cstheme="minorHAnsi" w:hAnsiTheme="majorHAnsi"/>
                      <w:b/>
                      <w:bCs/>
                      <w:sz w:val="16"/>
                      <w:szCs w:val="16"/>
                    </w:rPr>
                    <w:t>Transition of Account from other vendor, Setting up Offshore ODC, having KT conducted, Managing Financial Based on Milestone</w:t>
                  </w:r>
                </w:p>
              </w:tc>
            </w:tr>
            <w:tr>
              <w:trPr>
                <w:trHeight w:val="288" w:hRule="atLeast"/>
              </w:trPr>
              <w:tc>
                <w:tcPr>
                  <w:tcW w:w="10964" w:type="dxa"/>
                  <w:tcBorders/>
                  <w:shd w:fill="auto" w:val="clear"/>
                  <w:vAlign w:val="center"/>
                </w:tcPr>
                <w:p>
                  <w:pPr>
                    <w:pStyle w:val="ListParagraph"/>
                    <w:numPr>
                      <w:ilvl w:val="0"/>
                      <w:numId w:val="2"/>
                    </w:numPr>
                    <w:tabs>
                      <w:tab w:val="left" w:pos="10800" w:leader="none"/>
                    </w:tabs>
                    <w:spacing w:lineRule="auto" w:line="240" w:before="0" w:after="0"/>
                    <w:contextualSpacing/>
                    <w:rPr>
                      <w:rFonts w:ascii="Cambria" w:hAnsi="Cambria" w:cs="Calibri" w:asciiTheme="majorHAnsi" w:cstheme="minorHAnsi" w:hAnsiTheme="majorHAnsi"/>
                      <w:sz w:val="18"/>
                      <w:szCs w:val="18"/>
                    </w:rPr>
                  </w:pPr>
                  <w:r>
                    <w:rPr>
                      <w:rFonts w:cs="Calibri" w:ascii="Cambria" w:hAnsi="Cambria" w:asciiTheme="majorHAnsi" w:cstheme="minorHAnsi" w:hAnsiTheme="majorHAnsi"/>
                      <w:b/>
                      <w:bCs/>
                      <w:sz w:val="18"/>
                      <w:szCs w:val="18"/>
                    </w:rPr>
                    <w:t xml:space="preserve">Software/DevOps Development: </w:t>
                  </w:r>
                  <w:r>
                    <w:rPr>
                      <w:rFonts w:cs="Calibri" w:ascii="Cambria" w:hAnsi="Cambria" w:asciiTheme="majorHAnsi" w:cstheme="minorHAnsi" w:hAnsiTheme="majorHAnsi"/>
                      <w:b/>
                      <w:bCs/>
                      <w:sz w:val="16"/>
                      <w:szCs w:val="16"/>
                    </w:rPr>
                    <w:t xml:space="preserve">Integration Tools, JAVA/J2EE, MuleSoft, Biztalk, Azure Integration Services, Apache etc. Experience in API Integration services (REST, SOAP &amp; MuleSoft),messaging systems (Kafka, MQ), Understanding of XML, JSON, Python, SQL/NoSQL, Angular Js, LLM, Aure OpenAI. Experience in Azure Integration Services, OAuth2.0, version control and CI / CD tools like SVN, GIT, Jenkins, Exposure to Authentication, Authorization, SSO using JWT, OAuth, SAML, </w:t>
                  </w:r>
                  <w:r>
                    <w:rPr>
                      <w:rFonts w:cs="Calibri" w:ascii="Cambria" w:hAnsi="Cambria" w:asciiTheme="majorHAnsi" w:cstheme="minorHAnsi" w:hAnsiTheme="majorHAnsi"/>
                      <w:b/>
                      <w:bCs/>
                      <w:sz w:val="16"/>
                      <w:szCs w:val="16"/>
                    </w:rPr>
                    <w:t>Data Center ,</w:t>
                  </w:r>
                  <w:r>
                    <w:rPr>
                      <w:rFonts w:cs="Calibri" w:ascii="Cambria" w:hAnsi="Cambria" w:asciiTheme="majorHAnsi" w:cstheme="minorHAnsi" w:hAnsiTheme="majorHAnsi"/>
                      <w:b/>
                      <w:bCs/>
                      <w:sz w:val="16"/>
                      <w:szCs w:val="16"/>
                    </w:rPr>
                    <w:t>Test Driven Development, Strong background of delivering projects with first time right and Zero defects in production.Experience in using estimation techniques like (Use-case, FP, Story points).Experience in Agile execution methodology is mandatory.</w:t>
                  </w:r>
                </w:p>
              </w:tc>
            </w:tr>
            <w:tr>
              <w:trPr>
                <w:trHeight w:val="288" w:hRule="atLeast"/>
              </w:trPr>
              <w:tc>
                <w:tcPr>
                  <w:tcW w:w="10964" w:type="dxa"/>
                  <w:tcBorders/>
                  <w:shd w:color="auto" w:fill="F2F2F2" w:themeFill="background1" w:themeFillShade="f2" w:val="clear"/>
                  <w:vAlign w:val="center"/>
                </w:tcPr>
                <w:p>
                  <w:pPr>
                    <w:pStyle w:val="ListParagraph"/>
                    <w:numPr>
                      <w:ilvl w:val="0"/>
                      <w:numId w:val="2"/>
                    </w:numPr>
                    <w:tabs>
                      <w:tab w:val="left" w:pos="10800" w:leader="none"/>
                    </w:tabs>
                    <w:spacing w:lineRule="auto" w:line="240" w:before="0" w:after="0"/>
                    <w:contextualSpacing/>
                    <w:rPr>
                      <w:rFonts w:ascii="Cambria" w:hAnsi="Cambria" w:cs="Calibri" w:asciiTheme="majorHAnsi" w:cstheme="minorHAnsi" w:hAnsiTheme="majorHAnsi"/>
                      <w:sz w:val="18"/>
                      <w:szCs w:val="18"/>
                    </w:rPr>
                  </w:pPr>
                  <w:r>
                    <w:rPr>
                      <w:rFonts w:cs="Calibri" w:ascii="Cambria" w:hAnsi="Cambria" w:asciiTheme="majorHAnsi" w:cstheme="minorHAnsi" w:hAnsiTheme="majorHAnsi"/>
                      <w:b/>
                      <w:bCs/>
                      <w:sz w:val="18"/>
                      <w:szCs w:val="18"/>
                    </w:rPr>
                    <w:t xml:space="preserve">Pre-Sales - </w:t>
                  </w:r>
                  <w:r>
                    <w:rPr>
                      <w:rFonts w:cs="Calibri" w:ascii="Cambria" w:hAnsi="Cambria" w:asciiTheme="majorHAnsi" w:cstheme="minorHAnsi" w:hAnsiTheme="majorHAnsi"/>
                      <w:b/>
                      <w:bCs/>
                      <w:sz w:val="16"/>
                      <w:szCs w:val="16"/>
                    </w:rPr>
                    <w:t>Defining end to end solution architecture covering technical, deployment architectures and non-functional &amp; performance aspects and drive proposals</w:t>
                  </w:r>
                  <w:bookmarkStart w:id="0" w:name="_Hlk153819079"/>
                  <w:bookmarkEnd w:id="0"/>
                </w:p>
              </w:tc>
            </w:tr>
          </w:tbl>
          <w:p>
            <w:pPr>
              <w:pStyle w:val="Normal"/>
              <w:tabs>
                <w:tab w:val="left" w:pos="10800" w:leader="none"/>
              </w:tabs>
              <w:spacing w:lineRule="auto" w:line="276" w:before="0" w:after="0"/>
              <w:jc w:val="both"/>
              <w:rPr>
                <w:rFonts w:ascii="Cambria" w:hAnsi="Cambria" w:cs="Calibri" w:asciiTheme="majorHAnsi" w:cstheme="minorHAnsi" w:hAnsiTheme="majorHAnsi"/>
                <w:sz w:val="18"/>
                <w:szCs w:val="18"/>
              </w:rPr>
            </w:pPr>
            <w:r>
              <w:rPr>
                <w:rFonts w:cs="Calibri" w:cstheme="minorHAnsi" w:ascii="Cambria" w:hAnsi="Cambria"/>
                <w:sz w:val="18"/>
                <w:szCs w:val="18"/>
              </w:rPr>
            </w:r>
          </w:p>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ascii="Georgia" w:hAnsi="Georgia" w:cstheme="minorHAnsi"/>
                <w:b/>
                <w:bCs/>
                <w:sz w:val="18"/>
                <w:szCs w:val="18"/>
              </w:rPr>
              <w:t>IT Enterprise Infrastructure Skills</w:t>
            </w:r>
          </w:p>
          <w:tbl>
            <w:tblPr>
              <w:tblStyle w:val="PlainTable1"/>
              <w:tblW w:w="10963" w:type="dxa"/>
              <w:jc w:val="left"/>
              <w:tblInd w:w="0" w:type="dxa"/>
              <w:tblCellMar>
                <w:top w:w="0" w:type="dxa"/>
                <w:left w:w="103" w:type="dxa"/>
                <w:bottom w:w="0" w:type="dxa"/>
                <w:right w:w="108" w:type="dxa"/>
              </w:tblCellMar>
              <w:tblLook w:val="04a0"/>
            </w:tblPr>
            <w:tblGrid>
              <w:gridCol w:w="2143"/>
              <w:gridCol w:w="8819"/>
            </w:tblGrid>
            <w:tr>
              <w:trPr/>
              <w:tc>
                <w:tcPr>
                  <w:tcW w:w="2143" w:type="dxa"/>
                  <w:tcBorders/>
                  <w:shd w:fill="auto" w:val="clear"/>
                </w:tcPr>
                <w:p>
                  <w:pPr>
                    <w:pStyle w:val="Normal"/>
                    <w:tabs>
                      <w:tab w:val="left" w:pos="10800" w:leader="none"/>
                    </w:tabs>
                    <w:spacing w:lineRule="auto" w:line="240" w:before="0" w:after="0"/>
                    <w:jc w:val="both"/>
                    <w:rPr>
                      <w:rFonts w:ascii="Cambria" w:hAnsi="Cambria" w:cs="Calibri" w:asciiTheme="majorHAnsi" w:cstheme="minorHAnsi" w:hAnsiTheme="majorHAnsi"/>
                      <w:b w:val="false"/>
                      <w:b w:val="false"/>
                      <w:bCs w:val="false"/>
                      <w:spacing w:val="-4"/>
                      <w:sz w:val="18"/>
                      <w:szCs w:val="18"/>
                    </w:rPr>
                  </w:pPr>
                  <w:r>
                    <w:rPr>
                      <w:rFonts w:cs="Calibri" w:ascii="Cambria" w:hAnsi="Cambria" w:asciiTheme="majorHAnsi" w:cstheme="minorHAnsi" w:hAnsiTheme="majorHAnsi"/>
                      <w:b w:val="false"/>
                      <w:bCs w:val="false"/>
                      <w:spacing w:val="-4"/>
                      <w:sz w:val="18"/>
                      <w:szCs w:val="18"/>
                    </w:rPr>
                    <w:t>Infrastructure</w:t>
                  </w:r>
                </w:p>
              </w:tc>
              <w:tc>
                <w:tcPr>
                  <w:tcW w:w="8819" w:type="dxa"/>
                  <w:tcBorders/>
                  <w:shd w:fill="auto" w:val="clear"/>
                </w:tcPr>
                <w:p>
                  <w:pPr>
                    <w:pStyle w:val="Normal"/>
                    <w:tabs>
                      <w:tab w:val="left" w:pos="10800" w:leader="none"/>
                    </w:tabs>
                    <w:spacing w:lineRule="auto" w:line="240" w:before="0" w:after="0"/>
                    <w:jc w:val="both"/>
                    <w:rPr>
                      <w:rFonts w:ascii="Cambria" w:hAnsi="Cambria" w:cs="Calibri" w:asciiTheme="majorHAnsi" w:cstheme="minorHAnsi" w:hAnsiTheme="majorHAnsi"/>
                      <w:b w:val="false"/>
                      <w:b w:val="false"/>
                      <w:bCs w:val="false"/>
                      <w:spacing w:val="-4"/>
                      <w:sz w:val="18"/>
                      <w:szCs w:val="18"/>
                      <w:lang w:val="en-GB"/>
                    </w:rPr>
                  </w:pPr>
                  <w:r>
                    <w:rPr>
                      <w:rFonts w:cs="Calibri" w:ascii="Cambria" w:hAnsi="Cambria" w:asciiTheme="majorHAnsi" w:cstheme="minorHAnsi" w:hAnsiTheme="majorHAnsi"/>
                      <w:b w:val="false"/>
                      <w:bCs w:val="false"/>
                      <w:spacing w:val="-4"/>
                      <w:sz w:val="18"/>
                      <w:szCs w:val="18"/>
                      <w:lang w:val="en-GB"/>
                    </w:rPr>
                    <w:t>HPE Synergy, HPE Enclosures, Cisco UCS, On-Prem Blade Server, Standalone Servers, DC Cabling and configuration, UPS</w:t>
                  </w:r>
                </w:p>
              </w:tc>
            </w:tr>
            <w:tr>
              <w:trPr/>
              <w:tc>
                <w:tcPr>
                  <w:tcW w:w="2143"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pacing w:val="-4"/>
                      <w:sz w:val="18"/>
                      <w:szCs w:val="18"/>
                    </w:rPr>
                    <w:t>Network</w:t>
                  </w:r>
                </w:p>
              </w:tc>
              <w:tc>
                <w:tcPr>
                  <w:tcW w:w="8819"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b/>
                      <w:bCs/>
                      <w:sz w:val="18"/>
                      <w:szCs w:val="18"/>
                    </w:rPr>
                  </w:pPr>
                  <w:r>
                    <w:rPr>
                      <w:rFonts w:cs="Calibri" w:ascii="Cambria" w:hAnsi="Cambria" w:asciiTheme="majorHAnsi" w:cstheme="minorHAnsi" w:hAnsiTheme="majorHAnsi"/>
                      <w:spacing w:val="-4"/>
                      <w:sz w:val="18"/>
                      <w:szCs w:val="18"/>
                    </w:rPr>
                    <w:t xml:space="preserve">Net Brain Automation, FortiGate Firewall Config/Migration, Cisco Switches/Router Transformation, Setup/Upgrade Wide Area Network (WAN), LAN Switching, Routing Public and Private Network monitoring, </w:t>
                  </w:r>
                  <w:r>
                    <w:rPr>
                      <w:rFonts w:cs="Calibri" w:ascii="Cambria" w:hAnsi="Cambria" w:asciiTheme="majorHAnsi" w:cstheme="minorHAnsi" w:hAnsiTheme="majorHAnsi"/>
                      <w:spacing w:val="-4"/>
                      <w:sz w:val="18"/>
                      <w:szCs w:val="18"/>
                    </w:rPr>
                    <w:t>Data Center ,</w:t>
                  </w:r>
                  <w:r>
                    <w:rPr>
                      <w:rFonts w:cs="Calibri" w:ascii="Cambria" w:hAnsi="Cambria" w:asciiTheme="majorHAnsi" w:cstheme="minorHAnsi" w:hAnsiTheme="majorHAnsi"/>
                      <w:spacing w:val="-4"/>
                      <w:sz w:val="18"/>
                      <w:szCs w:val="18"/>
                    </w:rPr>
                    <w:t>Wireless Access, IP Telephony, SD WAN</w:t>
                  </w:r>
                </w:p>
              </w:tc>
            </w:tr>
            <w:tr>
              <w:trPr/>
              <w:tc>
                <w:tcPr>
                  <w:tcW w:w="2143"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Security</w:t>
                  </w:r>
                </w:p>
              </w:tc>
              <w:tc>
                <w:tcPr>
                  <w:tcW w:w="8819" w:type="dxa"/>
                  <w:tcBorders/>
                  <w:shd w:fill="auto" w:val="clear"/>
                </w:tcPr>
                <w:p>
                  <w:pPr>
                    <w:pStyle w:val="Normal"/>
                    <w:tabs>
                      <w:tab w:val="left" w:pos="10800" w:leader="none"/>
                    </w:tabs>
                    <w:spacing w:lineRule="auto" w:line="240" w:before="0" w:after="0"/>
                    <w:jc w:val="both"/>
                    <w:rPr>
                      <w:rFonts w:ascii="Georgia" w:hAnsi="Georgia" w:cs="Calibri" w:cstheme="minorHAnsi"/>
                      <w:b/>
                      <w:b/>
                      <w:bCs/>
                      <w:sz w:val="18"/>
                      <w:szCs w:val="18"/>
                    </w:rPr>
                  </w:pPr>
                  <w:r>
                    <w:rPr>
                      <w:rFonts w:cs="Calibri" w:ascii="Cambria" w:hAnsi="Cambria" w:asciiTheme="majorHAnsi" w:cstheme="minorHAnsi" w:hAnsiTheme="majorHAnsi"/>
                      <w:sz w:val="18"/>
                      <w:szCs w:val="18"/>
                    </w:rPr>
                    <w:t>CyberArk, PAM Vault, RBAC, RCP, Tenable, Tanium, KnowBe4</w:t>
                  </w:r>
                </w:p>
              </w:tc>
            </w:tr>
            <w:tr>
              <w:trPr/>
              <w:tc>
                <w:tcPr>
                  <w:tcW w:w="2143"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Storage</w:t>
                  </w:r>
                </w:p>
              </w:tc>
              <w:tc>
                <w:tcPr>
                  <w:tcW w:w="8819"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b/>
                      <w:bCs/>
                      <w:sz w:val="18"/>
                      <w:szCs w:val="18"/>
                    </w:rPr>
                  </w:pPr>
                  <w:r>
                    <w:rPr>
                      <w:rFonts w:cs="Calibri" w:ascii="Cambria" w:hAnsi="Cambria" w:asciiTheme="majorHAnsi" w:cstheme="minorHAnsi" w:hAnsiTheme="majorHAnsi"/>
                      <w:sz w:val="18"/>
                      <w:szCs w:val="18"/>
                    </w:rPr>
                    <w:t>EMC DMX-3 to DMX -4 SAN Migration, EMC PowerScale NAS Migration, NAS Automation, NAS Data Tansfer services, Hitachi Storage, Dell Compellent, Cisco SAN Switches, EMC Storage</w:t>
                  </w:r>
                </w:p>
              </w:tc>
            </w:tr>
            <w:tr>
              <w:trPr/>
              <w:tc>
                <w:tcPr>
                  <w:tcW w:w="2143"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pacing w:val="-4"/>
                      <w:sz w:val="18"/>
                      <w:szCs w:val="18"/>
                    </w:rPr>
                    <w:t xml:space="preserve">Tech Refresh: </w:t>
                  </w:r>
                </w:p>
              </w:tc>
              <w:tc>
                <w:tcPr>
                  <w:tcW w:w="8819" w:type="dxa"/>
                  <w:tcBorders/>
                  <w:shd w:fill="auto" w:val="clear"/>
                </w:tcPr>
                <w:p>
                  <w:pPr>
                    <w:pStyle w:val="Normal"/>
                    <w:tabs>
                      <w:tab w:val="left" w:pos="10800" w:leader="none"/>
                    </w:tabs>
                    <w:spacing w:lineRule="auto" w:line="240" w:before="0" w:after="0"/>
                    <w:jc w:val="both"/>
                    <w:rPr>
                      <w:rFonts w:ascii="Georgia" w:hAnsi="Georgia" w:cs="Calibri" w:cstheme="minorHAnsi"/>
                      <w:b/>
                      <w:b/>
                      <w:bCs/>
                      <w:sz w:val="18"/>
                      <w:szCs w:val="18"/>
                    </w:rPr>
                  </w:pPr>
                  <w:r>
                    <w:rPr>
                      <w:rFonts w:cs="Calibri" w:ascii="Cambria" w:hAnsi="Cambria" w:asciiTheme="majorHAnsi" w:cstheme="minorHAnsi" w:hAnsiTheme="majorHAnsi"/>
                      <w:spacing w:val="-4"/>
                      <w:sz w:val="18"/>
                      <w:szCs w:val="18"/>
                    </w:rPr>
                    <w:t>EOL Unix/Windows Servers Build &amp; Migration to Virtualized Platform (Hypervisor), Citrix</w:t>
                  </w:r>
                </w:p>
              </w:tc>
            </w:tr>
            <w:tr>
              <w:trPr/>
              <w:tc>
                <w:tcPr>
                  <w:tcW w:w="2143"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pacing w:val="-4"/>
                      <w:sz w:val="18"/>
                      <w:szCs w:val="18"/>
                    </w:rPr>
                    <w:t xml:space="preserve">Data Base Management: </w:t>
                  </w:r>
                </w:p>
              </w:tc>
              <w:tc>
                <w:tcPr>
                  <w:tcW w:w="8819"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b/>
                      <w:bCs/>
                      <w:sz w:val="18"/>
                      <w:szCs w:val="18"/>
                    </w:rPr>
                  </w:pPr>
                  <w:r>
                    <w:rPr>
                      <w:rFonts w:cs="Calibri" w:ascii="Cambria" w:hAnsi="Cambria" w:asciiTheme="majorHAnsi" w:cstheme="minorHAnsi" w:hAnsiTheme="majorHAnsi"/>
                      <w:spacing w:val="-4"/>
                      <w:sz w:val="18"/>
                      <w:szCs w:val="18"/>
                    </w:rPr>
                    <w:t>SQL Migration, Oracle Update/Migration of table, schema.</w:t>
                  </w:r>
                  <w:r>
                    <w:rPr>
                      <w:rFonts w:cs="Calibri" w:ascii="Cambria" w:hAnsi="Cambria" w:asciiTheme="majorHAnsi" w:cstheme="minorHAnsi" w:hAnsiTheme="majorHAnsi"/>
                      <w:sz w:val="18"/>
                      <w:szCs w:val="18"/>
                      <w:u w:val="single"/>
                    </w:rPr>
                    <w:t xml:space="preserve"> </w:t>
                  </w:r>
                </w:p>
              </w:tc>
            </w:tr>
          </w:tbl>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cstheme="minorHAnsi" w:ascii="Georgia" w:hAnsi="Georgia"/>
                <w:b/>
                <w:bCs/>
                <w:sz w:val="18"/>
                <w:szCs w:val="18"/>
              </w:rPr>
            </w:r>
          </w:p>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ascii="Georgia" w:hAnsi="Georgia" w:cstheme="minorHAnsi"/>
                <w:b/>
                <w:bCs/>
                <w:sz w:val="18"/>
                <w:szCs w:val="18"/>
              </w:rPr>
              <w:t>Cloud Infrastructure Skills</w:t>
            </w:r>
          </w:p>
          <w:tbl>
            <w:tblPr>
              <w:tblStyle w:val="PlainTable1"/>
              <w:tblW w:w="10963" w:type="dxa"/>
              <w:jc w:val="left"/>
              <w:tblInd w:w="0" w:type="dxa"/>
              <w:tblCellMar>
                <w:top w:w="0" w:type="dxa"/>
                <w:left w:w="103" w:type="dxa"/>
                <w:bottom w:w="0" w:type="dxa"/>
                <w:right w:w="108" w:type="dxa"/>
              </w:tblCellMar>
              <w:tblLook w:val="04a0"/>
            </w:tblPr>
            <w:tblGrid>
              <w:gridCol w:w="2143"/>
              <w:gridCol w:w="8819"/>
            </w:tblGrid>
            <w:tr>
              <w:trPr/>
              <w:tc>
                <w:tcPr>
                  <w:tcW w:w="2143"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Georgia" w:hAnsi="Georgia" w:cstheme="minorHAnsi"/>
                      <w:b w:val="false"/>
                      <w:bCs w:val="false"/>
                      <w:sz w:val="18"/>
                      <w:szCs w:val="18"/>
                    </w:rPr>
                    <w:t>Cloud Migration</w:t>
                  </w:r>
                </w:p>
              </w:tc>
              <w:tc>
                <w:tcPr>
                  <w:tcW w:w="8819"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IaaS, PaaS, SaaS platfrom Migrations on Azure, AWS, Private/Public/Hybrid Cloud Migrations, Rehost, Rearchitect, Replatform, Rebuild, Retire strategy</w:t>
                  </w:r>
                </w:p>
              </w:tc>
            </w:tr>
          </w:tbl>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cstheme="minorHAnsi" w:ascii="Georgia" w:hAnsi="Georgia"/>
                <w:b/>
                <w:bCs/>
                <w:sz w:val="18"/>
                <w:szCs w:val="18"/>
              </w:rPr>
            </w:r>
          </w:p>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ascii="Georgia" w:hAnsi="Georgia" w:cstheme="minorHAnsi"/>
                <w:b/>
                <w:bCs/>
                <w:sz w:val="18"/>
                <w:szCs w:val="18"/>
              </w:rPr>
              <w:t>Solutioning &amp; Product Management Skills</w:t>
            </w:r>
          </w:p>
          <w:tbl>
            <w:tblPr>
              <w:tblStyle w:val="PlainTable1"/>
              <w:tblW w:w="10963" w:type="dxa"/>
              <w:jc w:val="left"/>
              <w:tblInd w:w="0" w:type="dxa"/>
              <w:tblCellMar>
                <w:top w:w="0" w:type="dxa"/>
                <w:left w:w="103" w:type="dxa"/>
                <w:bottom w:w="0" w:type="dxa"/>
                <w:right w:w="108" w:type="dxa"/>
              </w:tblCellMar>
              <w:tblLook w:val="04a0"/>
            </w:tblPr>
            <w:tblGrid>
              <w:gridCol w:w="2143"/>
              <w:gridCol w:w="8819"/>
            </w:tblGrid>
            <w:tr>
              <w:trPr/>
              <w:tc>
                <w:tcPr>
                  <w:tcW w:w="2143"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Georgia" w:hAnsi="Georgia" w:cstheme="minorHAnsi"/>
                      <w:b w:val="false"/>
                      <w:bCs w:val="false"/>
                      <w:sz w:val="18"/>
                      <w:szCs w:val="18"/>
                    </w:rPr>
                    <w:t>IBM Softlayer Bridge &amp; SNow</w:t>
                  </w:r>
                </w:p>
              </w:tc>
              <w:tc>
                <w:tcPr>
                  <w:tcW w:w="8819"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Cambria" w:hAnsi="Cambria" w:asciiTheme="majorHAnsi" w:cstheme="minorHAnsi" w:hAnsiTheme="majorHAnsi"/>
                      <w:b w:val="false"/>
                      <w:bCs/>
                      <w:sz w:val="18"/>
                      <w:szCs w:val="18"/>
                    </w:rPr>
                    <w:t>IaaS, PaaS, SaaS platfrom Migrations on Azure, AWS, Google-GCP, Oracle &amp; IBM, Private/Public/Hybrid Cloud Migrations</w:t>
                  </w:r>
                </w:p>
              </w:tc>
            </w:tr>
          </w:tbl>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cstheme="minorHAnsi" w:ascii="Georgia" w:hAnsi="Georgia"/>
                <w:b/>
                <w:bCs/>
                <w:sz w:val="18"/>
                <w:szCs w:val="18"/>
              </w:rPr>
            </w:r>
          </w:p>
          <w:p>
            <w:pPr>
              <w:pStyle w:val="Normal"/>
              <w:tabs>
                <w:tab w:val="left" w:pos="10800" w:leader="none"/>
              </w:tabs>
              <w:spacing w:lineRule="auto" w:line="276" w:before="0" w:after="0"/>
              <w:jc w:val="both"/>
              <w:rPr>
                <w:rFonts w:ascii="Georgia" w:hAnsi="Georgia" w:cs="Calibri" w:cstheme="minorHAnsi"/>
                <w:b/>
                <w:b/>
                <w:bCs/>
                <w:sz w:val="18"/>
                <w:szCs w:val="18"/>
              </w:rPr>
            </w:pPr>
            <w:r>
              <w:rPr>
                <w:rFonts w:cs="Calibri" w:ascii="Georgia" w:hAnsi="Georgia" w:cstheme="minorHAnsi"/>
                <w:b/>
                <w:bCs/>
                <w:sz w:val="18"/>
                <w:szCs w:val="18"/>
              </w:rPr>
              <w:t>Software Development skills</w:t>
            </w:r>
          </w:p>
          <w:tbl>
            <w:tblPr>
              <w:tblStyle w:val="PlainTable1"/>
              <w:tblW w:w="10963" w:type="dxa"/>
              <w:jc w:val="left"/>
              <w:tblInd w:w="0" w:type="dxa"/>
              <w:tblCellMar>
                <w:top w:w="0" w:type="dxa"/>
                <w:left w:w="103" w:type="dxa"/>
                <w:bottom w:w="0" w:type="dxa"/>
                <w:right w:w="108" w:type="dxa"/>
              </w:tblCellMar>
              <w:tblLook w:val="04a0"/>
            </w:tblPr>
            <w:tblGrid>
              <w:gridCol w:w="2143"/>
              <w:gridCol w:w="8819"/>
            </w:tblGrid>
            <w:tr>
              <w:trPr/>
              <w:tc>
                <w:tcPr>
                  <w:tcW w:w="2143"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Georgia" w:hAnsi="Georgia" w:cstheme="minorHAnsi"/>
                      <w:b w:val="false"/>
                      <w:bCs w:val="false"/>
                      <w:sz w:val="18"/>
                      <w:szCs w:val="18"/>
                    </w:rPr>
                    <w:t>Data Science</w:t>
                  </w:r>
                </w:p>
              </w:tc>
              <w:tc>
                <w:tcPr>
                  <w:tcW w:w="8819" w:type="dxa"/>
                  <w:tcBorders/>
                  <w:shd w:fill="auto"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ascii="Cambria" w:hAnsi="Cambria"/>
                      <w:b w:val="false"/>
                      <w:bCs w:val="false"/>
                      <w:sz w:val="18"/>
                      <w:szCs w:val="18"/>
                    </w:rPr>
                    <w:t>Azure DevOps &amp; Azure Pipeline, Azure Data Lake, Azure Data Factory, Power App, Power BI, Purview, Dynamics 365 Customer Service, Azure Data Bricks, Python, R, SQL</w:t>
                  </w:r>
                </w:p>
              </w:tc>
            </w:tr>
            <w:tr>
              <w:trPr/>
              <w:tc>
                <w:tcPr>
                  <w:tcW w:w="2143" w:type="dxa"/>
                  <w:tcBorders/>
                  <w:shd w:color="auto" w:fill="F2F2F2" w:themeFill="background1" w:themeFillShade="f2" w:val="clear"/>
                </w:tcPr>
                <w:p>
                  <w:pPr>
                    <w:pStyle w:val="Normal"/>
                    <w:tabs>
                      <w:tab w:val="left" w:pos="10800" w:leader="none"/>
                    </w:tabs>
                    <w:spacing w:lineRule="auto" w:line="240" w:before="0" w:after="0"/>
                    <w:jc w:val="both"/>
                    <w:rPr>
                      <w:rFonts w:ascii="Georgia" w:hAnsi="Georgia" w:cs="Calibri" w:cstheme="minorHAnsi"/>
                      <w:b w:val="false"/>
                      <w:b w:val="false"/>
                      <w:bCs w:val="false"/>
                      <w:sz w:val="18"/>
                      <w:szCs w:val="18"/>
                    </w:rPr>
                  </w:pPr>
                  <w:r>
                    <w:rPr>
                      <w:rFonts w:cs="Calibri" w:ascii="Georgia" w:hAnsi="Georgia" w:cstheme="minorHAnsi"/>
                      <w:b w:val="false"/>
                      <w:bCs w:val="false"/>
                      <w:sz w:val="18"/>
                      <w:szCs w:val="18"/>
                    </w:rPr>
                    <w:t>AI/ML/Generative AI</w:t>
                  </w:r>
                </w:p>
              </w:tc>
              <w:tc>
                <w:tcPr>
                  <w:tcW w:w="8819" w:type="dxa"/>
                  <w:tcBorders/>
                  <w:shd w:color="auto" w:fill="F2F2F2" w:themeFill="background1" w:themeFillShade="f2" w:val="clear"/>
                </w:tcPr>
                <w:p>
                  <w:pPr>
                    <w:pStyle w:val="Normal"/>
                    <w:tabs>
                      <w:tab w:val="left" w:pos="10800" w:leader="none"/>
                    </w:tabs>
                    <w:spacing w:lineRule="auto" w:line="240" w:before="0" w:after="0"/>
                    <w:jc w:val="both"/>
                    <w:rPr>
                      <w:rFonts w:ascii="Cambria" w:hAnsi="Cambria" w:cs="Calibri" w:asciiTheme="majorHAnsi" w:cstheme="minorHAnsi" w:hAnsiTheme="majorHAnsi"/>
                      <w:sz w:val="18"/>
                      <w:szCs w:val="18"/>
                    </w:rPr>
                  </w:pPr>
                  <w:r>
                    <w:rPr>
                      <w:rFonts w:cs="Calibri" w:ascii="Cambria" w:hAnsi="Cambria" w:asciiTheme="majorHAnsi" w:cstheme="minorHAnsi" w:hAnsiTheme="majorHAnsi"/>
                      <w:sz w:val="18"/>
                      <w:szCs w:val="18"/>
                    </w:rPr>
                    <w:t xml:space="preserve">Iac, Microsoft Azure ML, Angular JS, .NET, </w:t>
                  </w:r>
                  <w:r>
                    <w:rPr>
                      <w:rFonts w:cs="Calibri" w:ascii="Cambria" w:hAnsi="Cambria" w:asciiTheme="majorHAnsi" w:cstheme="minorHAnsi" w:hAnsiTheme="majorHAnsi"/>
                      <w:sz w:val="18"/>
                      <w:szCs w:val="18"/>
                      <w:lang w:val="en-GB" w:eastAsia="en-GB"/>
                    </w:rPr>
                    <w:t>ServiceNow, Full stack, CI/CD Pipeline, GitHub, VCS, Jenkins, Maven, Selenium, Ansible, Nagios, Terraform, Microservice with IBM Softlayer Bridge Application, Agentic AI (Large Language Model)</w:t>
                  </w:r>
                </w:p>
              </w:tc>
            </w:tr>
          </w:tbl>
          <w:p>
            <w:pPr>
              <w:pStyle w:val="Normal"/>
              <w:spacing w:before="0" w:after="0"/>
              <w:jc w:val="both"/>
              <w:rPr>
                <w:rFonts w:ascii="Cambria" w:hAnsi="Cambria" w:cs="Tahoma"/>
                <w:color w:val="6A6969"/>
                <w:sz w:val="20"/>
                <w:szCs w:val="20"/>
                <w:lang w:val="en-GB"/>
              </w:rPr>
            </w:pPr>
            <w:r>
              <w:rPr>
                <w:rFonts w:cs="Tahoma" w:ascii="Cambria" w:hAnsi="Cambria"/>
                <w:color w:val="6A6969"/>
                <w:sz w:val="20"/>
                <w:szCs w:val="20"/>
                <w:lang w:val="en-GB"/>
              </w:rPr>
            </w:r>
          </w:p>
          <w:p>
            <w:pPr>
              <w:pStyle w:val="Normal"/>
              <w:spacing w:before="0" w:after="0"/>
              <w:rPr>
                <w:rFonts w:ascii="Cambria" w:hAnsi="Cambria" w:cs="Tahoma" w:asciiTheme="majorHAnsi" w:hAnsiTheme="majorHAnsi"/>
                <w:b/>
                <w:b/>
                <w:color w:val="154960"/>
              </w:rPr>
            </w:pPr>
            <w:r>
              <w:rPr/>
              <w:drawing>
                <wp:inline distT="0" distB="0" distL="0" distR="0">
                  <wp:extent cx="228600" cy="228600"/>
                  <wp:effectExtent l="0" t="0" r="0" b="0"/>
                  <wp:docPr id="2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
                          <pic:cNvPicPr>
                            <a:picLocks noChangeAspect="1" noChangeArrowheads="1"/>
                          </pic:cNvPicPr>
                        </pic:nvPicPr>
                        <pic:blipFill>
                          <a:blip r:embed="rId27"/>
                          <a:stretch>
                            <a:fillRect/>
                          </a:stretch>
                        </pic:blipFill>
                        <pic:spPr bwMode="auto">
                          <a:xfrm>
                            <a:off x="0" y="0"/>
                            <a:ext cx="228600" cy="228600"/>
                          </a:xfrm>
                          <a:prstGeom prst="rect">
                            <a:avLst/>
                          </a:prstGeom>
                        </pic:spPr>
                      </pic:pic>
                    </a:graphicData>
                  </a:graphic>
                </wp:inline>
              </w:drawing>
            </w:r>
            <w:r>
              <w:rPr>
                <w:rFonts w:cs="Tahoma" w:ascii="Cambria" w:hAnsi="Cambria" w:asciiTheme="majorHAnsi" w:hAnsiTheme="majorHAnsi"/>
                <w:b/>
                <w:color w:val="154960"/>
              </w:rPr>
              <w:t xml:space="preserve"> </w:t>
            </w:r>
            <w:r>
              <w:rPr>
                <w:rFonts w:cs="Tahoma" w:ascii="Cambria" w:hAnsi="Cambria" w:asciiTheme="majorHAnsi" w:hAnsiTheme="majorHAnsi"/>
                <w:b/>
                <w:color w:val="154960"/>
                <w:sz w:val="24"/>
              </w:rPr>
              <w:t>WORK EXPERIENCE</w:t>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 xml:space="preserve">July 2023 – Mar 2026 at Atomic North, Noida [Role: </w:t>
            </w:r>
            <w:r>
              <w:rPr>
                <w:rFonts w:cs="Calibri" w:ascii="Georgia" w:hAnsi="Georgia" w:cstheme="minorHAnsi"/>
                <w:b/>
                <w:color w:val="000000" w:themeColor="text1"/>
                <w:sz w:val="20"/>
                <w:szCs w:val="18"/>
                <w:lang w:val="en-GB"/>
              </w:rPr>
              <w:t>Transition</w:t>
            </w:r>
            <w:r>
              <w:rPr>
                <w:rFonts w:cs="Calibri" w:ascii="Georgia" w:hAnsi="Georgia" w:cstheme="minorHAnsi"/>
                <w:b/>
                <w:color w:val="000000" w:themeColor="text1"/>
                <w:sz w:val="20"/>
                <w:szCs w:val="18"/>
                <w:lang w:val="en-GB"/>
              </w:rPr>
              <w:t xml:space="preserve"> Manager]</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Spearheading large-scale, intricate projects, emphasizing technology transformation with a keen focus on project progress, issue resolution, and the timely delivery of high-quality outcomes.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Managing a software engineering and analyst team, overseeing the design and development of scalable software applications using Full Stack platform for Web Development, ConnectWise for ITSM.</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Leading resource planning, project charter creation, technical direction, effort estimation, tracking, risk management, and providing mentorship to ensure project success.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Directing the end-to-end delivery of projects, ensuring alignment with internal and external objectives related to estimation, risk, scope, time, cost, resource, quality, scope variations, additional services, value-ads, continuous process improvement, and waste removal.</w:t>
            </w:r>
          </w:p>
          <w:p>
            <w:pPr>
              <w:pStyle w:val="ListParagraph"/>
              <w:numPr>
                <w:ilvl w:val="0"/>
                <w:numId w:val="1"/>
              </w:numPr>
              <w:spacing w:before="0" w:after="0"/>
              <w:contextualSpacing/>
              <w:jc w:val="both"/>
              <w:rPr/>
            </w:pPr>
            <w:r>
              <w:rPr>
                <w:rFonts w:ascii="Cambria" w:hAnsi="Cambria" w:asciiTheme="majorHAnsi" w:hAnsiTheme="majorHAnsi"/>
                <w:sz w:val="18"/>
              </w:rPr>
              <w:t xml:space="preserve">Overseeing Cloud Migration Projects for complex applications and delivering DevOps-based project outcomes encompassing CI/CD, Ansible, GitLab, Jenkin, GitHub, Maven, Selenium, Kubernetes, </w:t>
            </w:r>
            <w:r>
              <w:rPr>
                <w:rFonts w:ascii="Cambria" w:hAnsi="Cambria" w:asciiTheme="majorHAnsi" w:hAnsiTheme="majorHAnsi"/>
                <w:sz w:val="18"/>
              </w:rPr>
              <w:t xml:space="preserve">Data Center </w:t>
            </w:r>
            <w:r>
              <w:rPr>
                <w:rFonts w:ascii="Cambria" w:hAnsi="Cambria" w:asciiTheme="majorHAnsi" w:hAnsiTheme="majorHAnsi"/>
                <w:sz w:val="18"/>
              </w:rPr>
              <w:t>and Nagios.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Maintaining technical expertise aligned with industry standards and cloud development lifecycle, focusing on virtualization technologies and various cloud service delivery models.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Strategically implementing technology solutions for cost optimization, productivity enhancement, and revenue growth by leveraging customer applications for overall progress of project.</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Conducting detailed analysis of complex business process requirements, providing system solutions, and leading go-to-green planning, scope definition, and finalization of project requirements.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Facilitating Scrum ceremonies, utilizing tools like JIRA, and overseeing daily stand-ups, release planning, sprint planning, sprint reviews, retrospectives, Confluence for tasks management, backlog grooming sessions, Kanban board management, and sprint report generation.</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Proactively removing impediments to ensure continuous process improvements, aligning with strategy deployment, cost optimization, and business excellence.</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Leading innovative initiatives through the implementation of various technologies to deliver enhanced client value.</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Collaborating with senior management to define IT strategies and effectively implement multiple large-scale projects within project delivery schedules and SLA parameters.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Enhancing client satisfaction through the timely rollout of critical initiatives, maintaining updated process documentation, and working towards enhancing overall project management capabilities within the organization.</w:t>
            </w:r>
          </w:p>
          <w:p>
            <w:pPr>
              <w:pStyle w:val="Normal"/>
              <w:spacing w:before="0" w:after="0"/>
              <w:jc w:val="both"/>
              <w:rPr>
                <w:rFonts w:ascii="Cambria" w:hAnsi="Cambria" w:asciiTheme="majorHAnsi" w:hAnsiTheme="majorHAnsi"/>
                <w:sz w:val="18"/>
              </w:rPr>
            </w:pPr>
            <w:r>
              <w:rPr>
                <w:rFonts w:asciiTheme="majorHAnsi" w:hAnsiTheme="majorHAnsi" w:ascii="Cambria" w:hAnsi="Cambria"/>
                <w:sz w:val="18"/>
              </w:rPr>
            </w:r>
          </w:p>
          <w:p>
            <w:pPr>
              <w:pStyle w:val="Normal"/>
              <w:spacing w:before="0" w:after="0"/>
              <w:jc w:val="both"/>
              <w:rPr>
                <w:rFonts w:ascii="Cambria" w:hAnsi="Cambria" w:asciiTheme="majorHAnsi" w:hAnsiTheme="majorHAnsi"/>
                <w:b/>
                <w:b/>
                <w:color w:val="000000" w:themeColor="text1"/>
                <w:sz w:val="18"/>
              </w:rPr>
            </w:pPr>
            <w:r>
              <w:rPr>
                <w:rFonts w:ascii="Cambria" w:hAnsi="Cambria" w:asciiTheme="majorHAnsi" w:hAnsiTheme="majorHAnsi"/>
                <w:b/>
                <w:color w:val="000000" w:themeColor="text1"/>
                <w:sz w:val="18"/>
              </w:rPr>
              <w:t>Functional Expertise:</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Institute &amp; executing high level IT operational strategies, making high stake decisions, and overcoming complex business challenges using experience-backed judgment, strong work ethics &amp; irreproachable integrity</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Collaborating with stakeholders while keeping them informed of progress and issues to manage expectations on all requirements &amp; deliverables.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Monitoring design &amp; implementation of IT strategic plans throughout the organization, together with the enhancement of existing technologies, and implementation of new technologies to improve operational efficiency.</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Creating &amp; sustaining a dynamic environment that fosters development opportunities and motivates high performance amongst the team members. </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Developing project baselines and controlling the same with respect to cost, resource deployment, time overruns &amp; quality compliance to ensure satisfactory execution of projects.</w:t>
            </w:r>
          </w:p>
          <w:p>
            <w:pPr>
              <w:pStyle w:val="ListParagraph"/>
              <w:numPr>
                <w:ilvl w:val="0"/>
                <w:numId w:val="1"/>
              </w:numPr>
              <w:spacing w:before="0" w:after="0"/>
              <w:contextualSpacing/>
              <w:jc w:val="both"/>
              <w:rPr>
                <w:rFonts w:ascii="Cambria" w:hAnsi="Cambria" w:asciiTheme="majorHAnsi" w:hAnsiTheme="majorHAnsi"/>
                <w:sz w:val="18"/>
              </w:rPr>
            </w:pPr>
            <w:r>
              <w:rPr>
                <w:rFonts w:ascii="Cambria" w:hAnsi="Cambria" w:asciiTheme="majorHAnsi" w:hAnsiTheme="majorHAnsi"/>
                <w:sz w:val="18"/>
              </w:rPr>
              <w:t>Driving review meetings with the team to discuss the progress of projects as well as identifying gaps and suggesting effective solutions for the same.</w:t>
            </w:r>
          </w:p>
          <w:p>
            <w:pPr>
              <w:pStyle w:val="Normal"/>
              <w:spacing w:before="0" w:after="0"/>
              <w:rPr>
                <w:rFonts w:ascii="Cambria" w:hAnsi="Cambria" w:cs="Tahoma" w:asciiTheme="majorHAnsi" w:hAnsiTheme="majorHAnsi"/>
                <w:b/>
                <w:b/>
                <w:color w:val="075650"/>
              </w:rPr>
            </w:pPr>
            <w:r>
              <w:rPr>
                <w:rFonts w:cs="Tahoma" w:ascii="Cambria" w:hAnsi="Cambria"/>
                <w:b/>
                <w:color w:val="075650"/>
              </w:rPr>
            </w:r>
          </w:p>
          <w:p>
            <w:pPr>
              <w:pStyle w:val="Normal"/>
              <w:spacing w:before="0" w:after="0"/>
              <w:rPr>
                <w:rFonts w:ascii="Cambria" w:hAnsi="Cambria" w:cs="Tahoma" w:asciiTheme="majorHAnsi" w:hAnsiTheme="majorHAnsi"/>
                <w:b/>
                <w:b/>
                <w:color w:val="154960"/>
              </w:rPr>
            </w:pPr>
            <w:r>
              <w:rPr/>
              <w:drawing>
                <wp:inline distT="0" distB="0" distL="0" distR="0">
                  <wp:extent cx="228600" cy="228600"/>
                  <wp:effectExtent l="0" t="0" r="0" b="0"/>
                  <wp:docPr id="26"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descr=""/>
                          <pic:cNvPicPr>
                            <a:picLocks noChangeAspect="1" noChangeArrowheads="1"/>
                          </pic:cNvPicPr>
                        </pic:nvPicPr>
                        <pic:blipFill>
                          <a:blip r:embed="rId28"/>
                          <a:stretch>
                            <a:fillRect/>
                          </a:stretch>
                        </pic:blipFill>
                        <pic:spPr bwMode="auto">
                          <a:xfrm>
                            <a:off x="0" y="0"/>
                            <a:ext cx="228600" cy="228600"/>
                          </a:xfrm>
                          <a:prstGeom prst="rect">
                            <a:avLst/>
                          </a:prstGeom>
                        </pic:spPr>
                      </pic:pic>
                    </a:graphicData>
                  </a:graphic>
                </wp:inline>
              </w:drawing>
            </w:r>
            <w:r>
              <w:rPr>
                <w:rFonts w:cs="Tahoma" w:ascii="Cambria" w:hAnsi="Cambria" w:asciiTheme="majorHAnsi" w:hAnsiTheme="majorHAnsi"/>
                <w:b/>
                <w:color w:val="154960"/>
              </w:rPr>
              <w:t xml:space="preserve"> </w:t>
            </w:r>
            <w:r>
              <w:rPr>
                <w:rFonts w:cs="Tahoma" w:ascii="Cambria" w:hAnsi="Cambria" w:asciiTheme="majorHAnsi" w:hAnsiTheme="majorHAnsi"/>
                <w:b/>
                <w:color w:val="154960"/>
              </w:rPr>
              <w:t xml:space="preserve">PREVIOUS </w:t>
            </w:r>
            <w:r>
              <w:rPr>
                <w:rFonts w:cs="Tahoma" w:ascii="Cambria" w:hAnsi="Cambria" w:asciiTheme="majorHAnsi" w:hAnsiTheme="majorHAnsi"/>
                <w:b/>
                <w:color w:val="154960"/>
                <w:sz w:val="24"/>
              </w:rPr>
              <w:t>WORK EXPERIENCE</w:t>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May’22 – May’23 – ITBD, Chandigarh</w:t>
            </w:r>
          </w:p>
          <w:p>
            <w:pPr>
              <w:pStyle w:val="Normal"/>
              <w:spacing w:before="0" w:after="0"/>
              <w:rPr>
                <w:rFonts w:ascii="Cambria" w:hAnsi="Cambria" w:cs="Tahoma" w:asciiTheme="majorHAnsi" w:hAnsiTheme="majorHAnsi"/>
                <w:b/>
                <w:b/>
                <w:color w:val="075650"/>
                <w:lang w:val="en-GB"/>
              </w:rPr>
            </w:pPr>
            <w:r>
              <w:rPr>
                <w:rFonts w:cs="Tahoma" w:ascii="Cambria" w:hAnsi="Cambria"/>
                <w:b/>
                <w:color w:val="075650"/>
                <w:lang w:val="en-GB"/>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Aug’20 – May’22 – Dhani Stock Ltd. (Indiabulls Group), Gurgaon</w:t>
            </w:r>
          </w:p>
          <w:p>
            <w:pPr>
              <w:pStyle w:val="Normal"/>
              <w:spacing w:before="0" w:after="0"/>
              <w:jc w:val="both"/>
              <w:rPr>
                <w:rFonts w:ascii="Georgia" w:hAnsi="Georgia" w:cs="Calibri" w:cstheme="minorHAnsi"/>
                <w:b/>
                <w:b/>
                <w:color w:val="000000" w:themeColor="text1"/>
                <w:sz w:val="20"/>
                <w:szCs w:val="18"/>
                <w:lang w:val="en-GB"/>
              </w:rPr>
            </w:pPr>
            <w:r>
              <w:rPr>
                <w:rFonts w:cs="Calibri" w:cstheme="minorHAnsi" w:ascii="Georgia" w:hAnsi="Georgia"/>
                <w:b/>
                <w:color w:val="000000" w:themeColor="text1"/>
                <w:sz w:val="20"/>
                <w:szCs w:val="18"/>
                <w:lang w:val="en-GB"/>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Jun’19 – Aug’20 – Fareportal India Pvt. Ltd., Gurgaon</w:t>
            </w:r>
          </w:p>
          <w:p>
            <w:pPr>
              <w:pStyle w:val="Normal"/>
              <w:spacing w:before="0" w:after="0"/>
              <w:jc w:val="both"/>
              <w:rPr>
                <w:rFonts w:ascii="Georgia" w:hAnsi="Georgia" w:cs="Calibri" w:cstheme="minorHAnsi"/>
                <w:b/>
                <w:b/>
                <w:color w:val="000000" w:themeColor="text1"/>
                <w:sz w:val="20"/>
                <w:szCs w:val="18"/>
                <w:lang w:val="en-GB"/>
              </w:rPr>
            </w:pPr>
            <w:r>
              <w:rPr>
                <w:rFonts w:cs="Calibri" w:cstheme="minorHAnsi" w:ascii="Georgia" w:hAnsi="Georgia"/>
                <w:b/>
                <w:color w:val="000000" w:themeColor="text1"/>
                <w:sz w:val="20"/>
                <w:szCs w:val="18"/>
                <w:lang w:val="en-GB"/>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 xml:space="preserve">Feb’17 – Jun’19 – IBM India Pvt. Ltd., Gurgaon </w:t>
            </w:r>
          </w:p>
          <w:p>
            <w:pPr>
              <w:pStyle w:val="Normal"/>
              <w:spacing w:before="0" w:after="0"/>
              <w:jc w:val="both"/>
              <w:rPr>
                <w:rFonts w:ascii="Georgia" w:hAnsi="Georgia" w:cs="Calibri" w:cstheme="minorHAnsi"/>
                <w:b/>
                <w:b/>
                <w:color w:val="000000" w:themeColor="text1"/>
                <w:sz w:val="20"/>
                <w:szCs w:val="18"/>
                <w:lang w:val="en-GB"/>
              </w:rPr>
            </w:pPr>
            <w:r>
              <w:rPr>
                <w:rFonts w:cs="Calibri" w:cstheme="minorHAnsi" w:ascii="Georgia" w:hAnsi="Georgia"/>
                <w:b/>
                <w:color w:val="000000" w:themeColor="text1"/>
                <w:sz w:val="20"/>
                <w:szCs w:val="18"/>
                <w:lang w:val="en-GB"/>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fr-FR"/>
              </w:rPr>
            </w:pPr>
            <w:r>
              <w:rPr>
                <w:rFonts w:cs="Calibri" w:ascii="Georgia" w:hAnsi="Georgia" w:cstheme="minorHAnsi"/>
                <w:b/>
                <w:color w:val="000000" w:themeColor="text1"/>
                <w:sz w:val="20"/>
                <w:szCs w:val="18"/>
                <w:lang w:val="fr-FR"/>
              </w:rPr>
              <w:t xml:space="preserve">Apr’14 – Feb’17 – HCL Technologies, Noida </w:t>
            </w:r>
          </w:p>
          <w:p>
            <w:pPr>
              <w:pStyle w:val="Normal"/>
              <w:spacing w:before="0" w:after="0"/>
              <w:jc w:val="both"/>
              <w:rPr>
                <w:rFonts w:ascii="Georgia" w:hAnsi="Georgia" w:cs="Calibri" w:cstheme="minorHAnsi"/>
                <w:b/>
                <w:b/>
                <w:color w:val="000000" w:themeColor="text1"/>
                <w:sz w:val="20"/>
                <w:szCs w:val="18"/>
                <w:lang w:val="fr-FR"/>
              </w:rPr>
            </w:pPr>
            <w:r>
              <w:rPr>
                <w:rFonts w:cs="Calibri" w:cstheme="minorHAnsi" w:ascii="Georgia" w:hAnsi="Georgia"/>
                <w:b/>
                <w:color w:val="000000" w:themeColor="text1"/>
                <w:sz w:val="20"/>
                <w:szCs w:val="18"/>
                <w:lang w:val="fr-FR"/>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fr-FR"/>
              </w:rPr>
            </w:pPr>
            <w:r>
              <w:rPr>
                <w:rFonts w:cs="Calibri" w:ascii="Georgia" w:hAnsi="Georgia" w:cstheme="minorHAnsi"/>
                <w:b/>
                <w:color w:val="000000" w:themeColor="text1"/>
                <w:sz w:val="20"/>
                <w:szCs w:val="18"/>
                <w:lang w:val="fr-FR"/>
              </w:rPr>
              <w:t xml:space="preserve">Jul’12 – Apr’14 – Navisite, Gurgaon </w:t>
            </w:r>
          </w:p>
          <w:p>
            <w:pPr>
              <w:pStyle w:val="Normal"/>
              <w:spacing w:before="0" w:after="0"/>
              <w:jc w:val="both"/>
              <w:rPr>
                <w:rFonts w:ascii="Georgia" w:hAnsi="Georgia" w:cs="Calibri" w:cstheme="minorHAnsi"/>
                <w:b/>
                <w:b/>
                <w:color w:val="000000" w:themeColor="text1"/>
                <w:sz w:val="20"/>
                <w:szCs w:val="18"/>
                <w:lang w:val="fr-FR"/>
              </w:rPr>
            </w:pPr>
            <w:r>
              <w:rPr>
                <w:rFonts w:cs="Calibri" w:cstheme="minorHAnsi" w:ascii="Georgia" w:hAnsi="Georgia"/>
                <w:b/>
                <w:color w:val="000000" w:themeColor="text1"/>
                <w:sz w:val="20"/>
                <w:szCs w:val="18"/>
                <w:lang w:val="fr-FR"/>
              </w:rPr>
            </w:r>
          </w:p>
          <w:p>
            <w:pPr>
              <w:pStyle w:val="Normal"/>
              <w:shd w:val="clear" w:color="auto" w:fill="D9D9D9" w:themeFill="background1" w:themeFillShade="d9"/>
              <w:spacing w:before="0" w:after="0"/>
              <w:jc w:val="both"/>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Sept’06 – Jul’12 – Convergys, Gurgaon</w:t>
            </w:r>
          </w:p>
        </w:tc>
      </w:tr>
      <w:tr>
        <w:trPr>
          <w:trHeight w:val="2484" w:hRule="atLeast"/>
        </w:trPr>
        <w:tc>
          <w:tcPr>
            <w:tcW w:w="2969" w:type="dxa"/>
            <w:tcBorders/>
            <w:shd w:fill="auto" w:val="clear"/>
          </w:tcPr>
          <w:p>
            <w:pPr>
              <w:pStyle w:val="Normal"/>
              <w:spacing w:lineRule="auto" w:line="240" w:before="0" w:after="0"/>
              <w:rPr>
                <w:rFonts w:ascii="Cambria" w:hAnsi="Cambria" w:cs="Tahoma"/>
                <w:b/>
                <w:b/>
                <w:color w:val="154960"/>
                <w:sz w:val="24"/>
              </w:rPr>
            </w:pPr>
            <w:r>
              <w:rPr/>
              <w:drawing>
                <wp:inline distT="0" distB="0" distL="0" distR="0">
                  <wp:extent cx="228600" cy="228600"/>
                  <wp:effectExtent l="0" t="0" r="0" b="0"/>
                  <wp:docPr id="2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descr=""/>
                          <pic:cNvPicPr>
                            <a:picLocks noChangeAspect="1" noChangeArrowheads="1"/>
                          </pic:cNvPicPr>
                        </pic:nvPicPr>
                        <pic:blipFill>
                          <a:blip r:embed="rId29"/>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SOFT SKILLS</w:t>
            </w:r>
          </w:p>
          <w:p>
            <w:pPr>
              <w:pStyle w:val="Normal"/>
              <w:spacing w:lineRule="auto" w:line="240" w:before="0" w:after="0"/>
              <w:rPr>
                <w:rFonts w:ascii="Cambria" w:hAnsi="Cambria" w:cs="Tahoma"/>
                <w:b/>
                <w:b/>
                <w:color w:val="075650"/>
              </w:rPr>
            </w:pPr>
            <w:r>
              <w:rPr>
                <w:rFonts w:cs="Tahoma" w:ascii="Cambria" w:hAnsi="Cambria"/>
                <w:b/>
                <w:color w:val="075650"/>
              </w:rPr>
              <mc:AlternateContent>
                <mc:Choice Requires="wps">
                  <w:drawing>
                    <wp:anchor behindDoc="0" distT="0" distB="0" distL="114300" distR="114300" simplePos="0" locked="0" layoutInCell="1" allowOverlap="1" relativeHeight="2">
                      <wp:simplePos x="0" y="0"/>
                      <wp:positionH relativeFrom="column">
                        <wp:posOffset>889000</wp:posOffset>
                      </wp:positionH>
                      <wp:positionV relativeFrom="paragraph">
                        <wp:posOffset>12065</wp:posOffset>
                      </wp:positionV>
                      <wp:extent cx="1067435" cy="305435"/>
                      <wp:effectExtent l="0" t="0" r="0" b="0"/>
                      <wp:wrapNone/>
                      <wp:docPr id="28" name="Rectangle 1152"/>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Change Agent</w:t>
                                  </w:r>
                                </w:p>
                              </w:txbxContent>
                            </wps:txbx>
                            <wps:bodyPr anchor="ctr">
                              <a:prstTxWarp prst="textNoShape"/>
                              <a:noAutofit/>
                            </wps:bodyPr>
                          </wps:wsp>
                        </a:graphicData>
                      </a:graphic>
                    </wp:anchor>
                  </w:drawing>
                </mc:Choice>
                <mc:Fallback>
                  <w:pict>
                    <v:rect id="shape_0" ID="Rectangle 1152" stroked="f" style="position:absolute;margin-left:70pt;margin-top:0.95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Change Agent</w:t>
                            </w:r>
                          </w:p>
                        </w:txbxContent>
                      </v:textbox>
                    </v:rect>
                  </w:pict>
                </mc:Fallback>
              </mc:AlternateContent>
              <mc:AlternateContent>
                <mc:Choice Requires="wps">
                  <w:drawing>
                    <wp:anchor behindDoc="0" distT="0" distB="0" distL="114300" distR="114300" simplePos="0" locked="0" layoutInCell="1" allowOverlap="1" relativeHeight="4">
                      <wp:simplePos x="0" y="0"/>
                      <wp:positionH relativeFrom="column">
                        <wp:posOffset>889000</wp:posOffset>
                      </wp:positionH>
                      <wp:positionV relativeFrom="paragraph">
                        <wp:posOffset>162560</wp:posOffset>
                      </wp:positionV>
                      <wp:extent cx="1067435" cy="305435"/>
                      <wp:effectExtent l="0" t="0" r="0" b="0"/>
                      <wp:wrapNone/>
                      <wp:docPr id="30" name="Rectangle 50"/>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Collaborator</w:t>
                                  </w:r>
                                </w:p>
                              </w:txbxContent>
                            </wps:txbx>
                            <wps:bodyPr anchor="ctr">
                              <a:prstTxWarp prst="textNoShape"/>
                              <a:noAutofit/>
                            </wps:bodyPr>
                          </wps:wsp>
                        </a:graphicData>
                      </a:graphic>
                    </wp:anchor>
                  </w:drawing>
                </mc:Choice>
                <mc:Fallback>
                  <w:pict>
                    <v:rect id="shape_0" ID="Rectangle 50" stroked="f" style="position:absolute;margin-left:70pt;margin-top:12.8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Collaborator</w:t>
                            </w:r>
                          </w:p>
                        </w:txbxContent>
                      </v:textbox>
                    </v:rect>
                  </w:pict>
                </mc:Fallback>
              </mc:AlternateContent>
            </w:r>
          </w:p>
          <w:p>
            <w:pPr>
              <w:pStyle w:val="Normal"/>
              <w:spacing w:lineRule="auto" w:line="240" w:before="0" w:after="0"/>
              <w:rPr>
                <w:rFonts w:ascii="Cambria" w:hAnsi="Cambria" w:cs="Tahoma"/>
                <w:b/>
                <w:b/>
              </w:rPr>
            </w:pPr>
            <w:r>
              <w:rPr/>
              <w:drawing>
                <wp:inline distT="0" distB="0" distL="0" distR="0">
                  <wp:extent cx="942975" cy="936625"/>
                  <wp:effectExtent l="0" t="0" r="0" b="0"/>
                  <wp:docPr id="4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descr=""/>
                          <pic:cNvPicPr>
                            <a:picLocks noChangeAspect="1" noChangeArrowheads="1"/>
                          </pic:cNvPicPr>
                        </pic:nvPicPr>
                        <pic:blipFill>
                          <a:blip r:embed="rId30"/>
                          <a:stretch>
                            <a:fillRect/>
                          </a:stretch>
                        </pic:blipFill>
                        <pic:spPr bwMode="auto">
                          <a:xfrm>
                            <a:off x="0" y="0"/>
                            <a:ext cx="942975" cy="936625"/>
                          </a:xfrm>
                          <a:prstGeom prst="rect">
                            <a:avLst/>
                          </a:prstGeom>
                        </pic:spPr>
                      </pic:pic>
                    </a:graphicData>
                  </a:graphic>
                </wp:inline>
              </w:drawing>
              <mc:AlternateContent>
                <mc:Choice Requires="wps">
                  <w:drawing>
                    <wp:anchor behindDoc="0" distT="0" distB="0" distL="114300" distR="114300" simplePos="0" locked="0" layoutInCell="1" allowOverlap="1" relativeHeight="5">
                      <wp:simplePos x="0" y="0"/>
                      <wp:positionH relativeFrom="column">
                        <wp:posOffset>869950</wp:posOffset>
                      </wp:positionH>
                      <wp:positionV relativeFrom="paragraph">
                        <wp:posOffset>152400</wp:posOffset>
                      </wp:positionV>
                      <wp:extent cx="1067435" cy="305435"/>
                      <wp:effectExtent l="0" t="0" r="0" b="0"/>
                      <wp:wrapNone/>
                      <wp:docPr id="32" name="Rectangle 51"/>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Communicator</w:t>
                                  </w:r>
                                </w:p>
                              </w:txbxContent>
                            </wps:txbx>
                            <wps:bodyPr anchor="ctr">
                              <a:prstTxWarp prst="textNoShape"/>
                              <a:noAutofit/>
                            </wps:bodyPr>
                          </wps:wsp>
                        </a:graphicData>
                      </a:graphic>
                    </wp:anchor>
                  </w:drawing>
                </mc:Choice>
                <mc:Fallback>
                  <w:pict>
                    <v:rect id="shape_0" ID="Rectangle 51" stroked="f" style="position:absolute;margin-left:68.5pt;margin-top:12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Communicator</w:t>
                            </w:r>
                          </w:p>
                        </w:txbxContent>
                      </v:textbox>
                    </v:rect>
                  </w:pict>
                </mc:Fallback>
              </mc:AlternateContent>
              <mc:AlternateContent>
                <mc:Choice Requires="wps">
                  <w:drawing>
                    <wp:anchor behindDoc="0" distT="0" distB="0" distL="114300" distR="114300" simplePos="0" locked="0" layoutInCell="1" allowOverlap="1" relativeHeight="6">
                      <wp:simplePos x="0" y="0"/>
                      <wp:positionH relativeFrom="column">
                        <wp:posOffset>869950</wp:posOffset>
                      </wp:positionH>
                      <wp:positionV relativeFrom="paragraph">
                        <wp:posOffset>334645</wp:posOffset>
                      </wp:positionV>
                      <wp:extent cx="1067435" cy="305435"/>
                      <wp:effectExtent l="0" t="0" r="0" b="0"/>
                      <wp:wrapNone/>
                      <wp:docPr id="34" name="Rectangle 52"/>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Innovator</w:t>
                                  </w:r>
                                </w:p>
                              </w:txbxContent>
                            </wps:txbx>
                            <wps:bodyPr anchor="ctr">
                              <a:prstTxWarp prst="textNoShape"/>
                              <a:noAutofit/>
                            </wps:bodyPr>
                          </wps:wsp>
                        </a:graphicData>
                      </a:graphic>
                    </wp:anchor>
                  </w:drawing>
                </mc:Choice>
                <mc:Fallback>
                  <w:pict>
                    <v:rect id="shape_0" ID="Rectangle 52" stroked="f" style="position:absolute;margin-left:68.5pt;margin-top:26.35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Innovator</w:t>
                            </w:r>
                          </w:p>
                        </w:txbxContent>
                      </v:textbox>
                    </v:rect>
                  </w:pict>
                </mc:Fallback>
              </mc:AlternateContent>
              <mc:AlternateContent>
                <mc:Choice Requires="wps">
                  <w:drawing>
                    <wp:anchor behindDoc="0" distT="0" distB="0" distL="114300" distR="114300" simplePos="0" locked="0" layoutInCell="1" allowOverlap="1" relativeHeight="7">
                      <wp:simplePos x="0" y="0"/>
                      <wp:positionH relativeFrom="column">
                        <wp:posOffset>869950</wp:posOffset>
                      </wp:positionH>
                      <wp:positionV relativeFrom="paragraph">
                        <wp:posOffset>504190</wp:posOffset>
                      </wp:positionV>
                      <wp:extent cx="1067435" cy="305435"/>
                      <wp:effectExtent l="0" t="0" r="0" b="0"/>
                      <wp:wrapNone/>
                      <wp:docPr id="36" name="Rectangle 53"/>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Planner</w:t>
                                  </w:r>
                                </w:p>
                              </w:txbxContent>
                            </wps:txbx>
                            <wps:bodyPr anchor="ctr">
                              <a:prstTxWarp prst="textNoShape"/>
                              <a:noAutofit/>
                            </wps:bodyPr>
                          </wps:wsp>
                        </a:graphicData>
                      </a:graphic>
                    </wp:anchor>
                  </w:drawing>
                </mc:Choice>
                <mc:Fallback>
                  <w:pict>
                    <v:rect id="shape_0" ID="Rectangle 53" stroked="f" style="position:absolute;margin-left:68.5pt;margin-top:39.7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Planner</w:t>
                            </w:r>
                          </w:p>
                        </w:txbxContent>
                      </v:textbox>
                    </v:rect>
                  </w:pict>
                </mc:Fallback>
              </mc:AlternateContent>
              <mc:AlternateContent>
                <mc:Choice Requires="wps">
                  <w:drawing>
                    <wp:anchor behindDoc="0" distT="0" distB="0" distL="114300" distR="114300" simplePos="0" locked="0" layoutInCell="1" allowOverlap="1" relativeHeight="8">
                      <wp:simplePos x="0" y="0"/>
                      <wp:positionH relativeFrom="column">
                        <wp:posOffset>869950</wp:posOffset>
                      </wp:positionH>
                      <wp:positionV relativeFrom="paragraph">
                        <wp:posOffset>673735</wp:posOffset>
                      </wp:positionV>
                      <wp:extent cx="1067435" cy="305435"/>
                      <wp:effectExtent l="0" t="0" r="0" b="0"/>
                      <wp:wrapNone/>
                      <wp:docPr id="38" name="Rectangle 54"/>
                      <a:graphic xmlns:a="http://schemas.openxmlformats.org/drawingml/2006/main">
                        <a:graphicData uri="http://schemas.microsoft.com/office/word/2010/wordprocessingShape">
                          <wps:wsp>
                            <wps:cNvSpPr/>
                            <wps:spPr>
                              <a:xfrm>
                                <a:off x="0" y="0"/>
                                <a:ext cx="1066680" cy="30492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Thinker</w:t>
                                  </w:r>
                                </w:p>
                              </w:txbxContent>
                            </wps:txbx>
                            <wps:bodyPr anchor="ctr">
                              <a:prstTxWarp prst="textNoShape"/>
                              <a:noAutofit/>
                            </wps:bodyPr>
                          </wps:wsp>
                        </a:graphicData>
                      </a:graphic>
                    </wp:anchor>
                  </w:drawing>
                </mc:Choice>
                <mc:Fallback>
                  <w:pict>
                    <v:rect id="shape_0" ID="Rectangle 54" stroked="f" style="position:absolute;margin-left:68.5pt;margin-top:53.05pt;width:83.95pt;height:23.95pt">
                      <w10:wrap type="square"/>
                      <v:fill o:detectmouseclick="t" on="false"/>
                      <v:stroke color="#3465a4" weight="25560" joinstyle="round" endcap="flat"/>
                      <v:textbox>
                        <w:txbxContent>
                          <w:p>
                            <w:pPr>
                              <w:pStyle w:val="FrameContents"/>
                              <w:spacing w:lineRule="auto" w:line="240" w:before="0" w:after="0"/>
                              <w:rPr/>
                            </w:pPr>
                            <w:r>
                              <w:rPr>
                                <w:rFonts w:cs="Tahoma" w:ascii="Cambria" w:hAnsi="Cambria" w:asciiTheme="majorHAnsi" w:hAnsiTheme="majorHAnsi"/>
                                <w:color w:val="000000" w:themeColor="text1"/>
                                <w:sz w:val="18"/>
                                <w:szCs w:val="18"/>
                                <w:lang w:eastAsia="en-GB"/>
                              </w:rPr>
                              <w:t>Thinker</w:t>
                            </w:r>
                          </w:p>
                        </w:txbxContent>
                      </v:textbox>
                    </v:rect>
                  </w:pict>
                </mc:Fallback>
              </mc:AlternateContent>
            </w:r>
          </w:p>
        </w:tc>
        <w:tc>
          <w:tcPr>
            <w:tcW w:w="8409" w:type="dxa"/>
            <w:gridSpan w:val="2"/>
            <w:tcBorders/>
            <w:shd w:fill="auto" w:val="clear"/>
          </w:tcPr>
          <w:p>
            <w:pPr>
              <w:pStyle w:val="Normal"/>
              <w:spacing w:before="0" w:after="0"/>
              <w:rPr>
                <w:rFonts w:ascii="Cambria" w:hAnsi="Cambria" w:cs="Tahoma"/>
                <w:b/>
                <w:b/>
                <w:color w:val="154960"/>
                <w:sz w:val="24"/>
              </w:rPr>
            </w:pPr>
            <w:r>
              <w:rPr/>
              <w:drawing>
                <wp:inline distT="0" distB="0" distL="0" distR="0">
                  <wp:extent cx="228600" cy="228600"/>
                  <wp:effectExtent l="0" t="0" r="0" b="0"/>
                  <wp:docPr id="4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descr=""/>
                          <pic:cNvPicPr>
                            <a:picLocks noChangeAspect="1" noChangeArrowheads="1"/>
                          </pic:cNvPicPr>
                        </pic:nvPicPr>
                        <pic:blipFill>
                          <a:blip r:embed="rId31"/>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CERTIFICATION</w:t>
            </w:r>
          </w:p>
          <w:p>
            <w:pPr>
              <w:pStyle w:val="Normal"/>
              <w:spacing w:before="0" w:after="0"/>
              <w:rPr>
                <w:rFonts w:ascii="Cambria" w:hAnsi="Cambria" w:cs="Tahoma"/>
                <w:b/>
                <w:b/>
                <w:color w:val="075650"/>
                <w:sz w:val="16"/>
              </w:rPr>
            </w:pPr>
            <w:r>
              <w:rPr>
                <w:rFonts w:cs="Tahoma" w:ascii="Cambria" w:hAnsi="Cambria"/>
                <w:b/>
                <w:color w:val="075650"/>
                <w:sz w:val="16"/>
              </w:rPr>
            </w:r>
          </w:p>
          <w:tbl>
            <w:tblPr>
              <w:tblStyle w:val="TableGrid"/>
              <w:tblW w:w="8089" w:type="dxa"/>
              <w:jc w:val="left"/>
              <w:tblInd w:w="0" w:type="dxa"/>
              <w:tblCellMar>
                <w:top w:w="0" w:type="dxa"/>
                <w:left w:w="108" w:type="dxa"/>
                <w:bottom w:w="0" w:type="dxa"/>
                <w:right w:w="108" w:type="dxa"/>
              </w:tblCellMar>
              <w:tblLook w:val="04a0"/>
            </w:tblPr>
            <w:tblGrid>
              <w:gridCol w:w="880"/>
              <w:gridCol w:w="7208"/>
            </w:tblGrid>
            <w:tr>
              <w:trPr>
                <w:trHeight w:val="576" w:hRule="atLeast"/>
              </w:trPr>
              <w:tc>
                <w:tcPr>
                  <w:tcW w:w="880"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cs="Tahoma"/>
                      <w:b/>
                      <w:b/>
                      <w:color w:val="075650"/>
                    </w:rPr>
                  </w:pPr>
                  <w:r>
                    <w:rPr/>
                    <w:drawing>
                      <wp:inline distT="0" distB="0" distL="0" distR="9525">
                        <wp:extent cx="238760" cy="254000"/>
                        <wp:effectExtent l="0" t="0" r="0" b="0"/>
                        <wp:docPr id="42"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descr=""/>
                                <pic:cNvPicPr>
                                  <a:picLocks noChangeAspect="1" noChangeArrowheads="1"/>
                                </pic:cNvPicPr>
                              </pic:nvPicPr>
                              <pic:blipFill>
                                <a:blip r:embed="rId32"/>
                                <a:stretch>
                                  <a:fillRect/>
                                </a:stretch>
                              </pic:blipFill>
                              <pic:spPr bwMode="auto">
                                <a:xfrm>
                                  <a:off x="0" y="0"/>
                                  <a:ext cx="238760" cy="254000"/>
                                </a:xfrm>
                                <a:prstGeom prst="rect">
                                  <a:avLst/>
                                </a:prstGeom>
                              </pic:spPr>
                            </pic:pic>
                          </a:graphicData>
                        </a:graphic>
                      </wp:inline>
                    </w:drawing>
                  </w:r>
                </w:p>
              </w:tc>
              <w:tc>
                <w:tcPr>
                  <w:tcW w:w="7208"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asciiTheme="majorHAnsi" w:hAnsiTheme="majorHAnsi"/>
                      <w:sz w:val="18"/>
                    </w:rPr>
                  </w:pPr>
                  <w:r>
                    <w:rPr>
                      <w:rFonts w:ascii="Cambria" w:hAnsi="Cambria" w:asciiTheme="majorHAnsi" w:hAnsiTheme="majorHAnsi"/>
                      <w:b/>
                      <w:sz w:val="18"/>
                    </w:rPr>
                    <w:t>Project Management Cert:</w:t>
                  </w:r>
                  <w:r>
                    <w:rPr>
                      <w:rFonts w:ascii="Cambria" w:hAnsi="Cambria" w:asciiTheme="majorHAnsi" w:hAnsiTheme="majorHAnsi"/>
                      <w:sz w:val="18"/>
                    </w:rPr>
                    <w:t xml:space="preserve"> PMP (Valid), IBM Agile Explorer, Preparing for SCRUM Master</w:t>
                  </w:r>
                </w:p>
                <w:p>
                  <w:pPr>
                    <w:pStyle w:val="Normal"/>
                    <w:spacing w:lineRule="auto" w:line="240" w:before="0" w:after="0"/>
                    <w:rPr>
                      <w:rFonts w:ascii="Cambria" w:hAnsi="Cambria" w:cs="Tahoma" w:asciiTheme="majorHAnsi" w:hAnsiTheme="majorHAnsi"/>
                      <w:color w:val="6A6969"/>
                      <w:sz w:val="18"/>
                      <w:szCs w:val="20"/>
                      <w:highlight w:val="white"/>
                    </w:rPr>
                  </w:pPr>
                  <w:r>
                    <w:rPr>
                      <w:rFonts w:cs="Tahoma" w:ascii="Cambria" w:hAnsi="Cambria"/>
                      <w:color w:val="6A6969"/>
                      <w:sz w:val="18"/>
                      <w:szCs w:val="20"/>
                      <w:shd w:fill="FFFFFF" w:val="clear"/>
                    </w:rPr>
                  </w:r>
                </w:p>
              </w:tc>
            </w:tr>
            <w:tr>
              <w:trPr>
                <w:trHeight w:val="576" w:hRule="atLeast"/>
              </w:trPr>
              <w:tc>
                <w:tcPr>
                  <w:tcW w:w="880"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b/>
                      <w:b/>
                      <w:color w:val="075650"/>
                    </w:rPr>
                  </w:pPr>
                  <w:r>
                    <w:rPr/>
                    <w:drawing>
                      <wp:inline distT="0" distB="0" distL="0" distR="9525">
                        <wp:extent cx="238760" cy="254000"/>
                        <wp:effectExtent l="0" t="0" r="0" b="0"/>
                        <wp:docPr id="43"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9" descr=""/>
                                <pic:cNvPicPr>
                                  <a:picLocks noChangeAspect="1" noChangeArrowheads="1"/>
                                </pic:cNvPicPr>
                              </pic:nvPicPr>
                              <pic:blipFill>
                                <a:blip r:embed="rId33"/>
                                <a:stretch>
                                  <a:fillRect/>
                                </a:stretch>
                              </pic:blipFill>
                              <pic:spPr bwMode="auto">
                                <a:xfrm>
                                  <a:off x="0" y="0"/>
                                  <a:ext cx="238760" cy="254000"/>
                                </a:xfrm>
                                <a:prstGeom prst="rect">
                                  <a:avLst/>
                                </a:prstGeom>
                              </pic:spPr>
                            </pic:pic>
                          </a:graphicData>
                        </a:graphic>
                      </wp:inline>
                    </w:drawing>
                  </w:r>
                </w:p>
              </w:tc>
              <w:tc>
                <w:tcPr>
                  <w:tcW w:w="7208"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asciiTheme="majorHAnsi" w:hAnsiTheme="majorHAnsi"/>
                      <w:sz w:val="18"/>
                      <w:lang w:val="en-GB"/>
                    </w:rPr>
                  </w:pPr>
                  <w:r>
                    <w:rPr>
                      <w:rFonts w:ascii="Cambria" w:hAnsi="Cambria" w:asciiTheme="majorHAnsi" w:hAnsiTheme="majorHAnsi"/>
                      <w:b/>
                      <w:sz w:val="18"/>
                    </w:rPr>
                    <w:t>Technical Cert:</w:t>
                  </w:r>
                  <w:r>
                    <w:rPr>
                      <w:rFonts w:ascii="Cambria" w:hAnsi="Cambria" w:asciiTheme="majorHAnsi" w:hAnsiTheme="majorHAnsi"/>
                      <w:sz w:val="18"/>
                    </w:rPr>
                    <w:t xml:space="preserve"> </w:t>
                  </w:r>
                  <w:r>
                    <w:rPr>
                      <w:rFonts w:ascii="Cambria" w:hAnsi="Cambria" w:asciiTheme="majorHAnsi" w:hAnsiTheme="majorHAnsi"/>
                      <w:sz w:val="18"/>
                      <w:lang w:val="en-GB"/>
                    </w:rPr>
                    <w:t>Microsoft Certified Solution Architect, Microsoft Certified Azure Fundamentals,</w:t>
                  </w:r>
                  <w:r>
                    <w:rPr>
                      <w:rFonts w:ascii="Cambria" w:hAnsi="Cambria" w:asciiTheme="majorHAnsi" w:hAnsiTheme="majorHAnsi"/>
                      <w:sz w:val="18"/>
                    </w:rPr>
                    <w:t xml:space="preserve"> </w:t>
                  </w:r>
                  <w:r>
                    <w:rPr>
                      <w:rFonts w:ascii="Cambria" w:hAnsi="Cambria" w:asciiTheme="majorHAnsi" w:hAnsiTheme="majorHAnsi"/>
                      <w:sz w:val="18"/>
                      <w:lang w:val="en-GB"/>
                    </w:rPr>
                    <w:t>Microsoft Certified Administrator Associate, Microsoft Certified Solutions Associate (MCSA),</w:t>
                  </w:r>
                  <w:r>
                    <w:rPr>
                      <w:rFonts w:ascii="Cambria" w:hAnsi="Cambria" w:asciiTheme="majorHAnsi" w:hAnsiTheme="majorHAnsi"/>
                      <w:sz w:val="18"/>
                      <w:lang w:val="en-GB"/>
                    </w:rPr>
                    <w:t>Data Center,</w:t>
                  </w:r>
                  <w:r>
                    <w:rPr>
                      <w:rFonts w:ascii="Cambria" w:hAnsi="Cambria" w:asciiTheme="majorHAnsi" w:hAnsiTheme="majorHAnsi"/>
                      <w:sz w:val="18"/>
                      <w:lang w:val="en-GB"/>
                    </w:rPr>
                    <w:t xml:space="preserve"> AWS Certified Solution Architect - Professional</w:t>
                  </w:r>
                </w:p>
              </w:tc>
            </w:tr>
            <w:tr>
              <w:trPr>
                <w:trHeight w:val="576" w:hRule="atLeast"/>
              </w:trPr>
              <w:tc>
                <w:tcPr>
                  <w:tcW w:w="880" w:type="dxa"/>
                  <w:tcBorders>
                    <w:top w:val="nil"/>
                    <w:left w:val="nil"/>
                    <w:bottom w:val="nil"/>
                    <w:right w:val="nil"/>
                    <w:insideH w:val="nil"/>
                    <w:insideV w:val="nil"/>
                  </w:tcBorders>
                  <w:shd w:fill="auto" w:val="clear"/>
                </w:tcPr>
                <w:p>
                  <w:pPr>
                    <w:pStyle w:val="Normal"/>
                    <w:spacing w:lineRule="auto" w:line="240" w:before="0" w:after="0"/>
                    <w:rPr>
                      <w:rFonts w:ascii="Cambria" w:hAnsi="Cambria" w:cs="Tahoma"/>
                      <w:b/>
                      <w:b/>
                      <w:color w:val="075650"/>
                    </w:rPr>
                  </w:pPr>
                  <w:r>
                    <w:rPr/>
                    <w:drawing>
                      <wp:inline distT="0" distB="0" distL="0" distR="9525">
                        <wp:extent cx="238760" cy="254000"/>
                        <wp:effectExtent l="0" t="0" r="0" b="0"/>
                        <wp:docPr id="4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
                                <pic:cNvPicPr>
                                  <a:picLocks noChangeAspect="1" noChangeArrowheads="1"/>
                                </pic:cNvPicPr>
                              </pic:nvPicPr>
                              <pic:blipFill>
                                <a:blip r:embed="rId34"/>
                                <a:stretch>
                                  <a:fillRect/>
                                </a:stretch>
                              </pic:blipFill>
                              <pic:spPr bwMode="auto">
                                <a:xfrm>
                                  <a:off x="0" y="0"/>
                                  <a:ext cx="238760" cy="254000"/>
                                </a:xfrm>
                                <a:prstGeom prst="rect">
                                  <a:avLst/>
                                </a:prstGeom>
                              </pic:spPr>
                            </pic:pic>
                          </a:graphicData>
                        </a:graphic>
                      </wp:inline>
                    </w:drawing>
                  </w:r>
                </w:p>
              </w:tc>
              <w:tc>
                <w:tcPr>
                  <w:tcW w:w="7208" w:type="dxa"/>
                  <w:tcBorders>
                    <w:top w:val="nil"/>
                    <w:left w:val="nil"/>
                    <w:bottom w:val="nil"/>
                    <w:right w:val="nil"/>
                    <w:insideH w:val="nil"/>
                    <w:insideV w:val="nil"/>
                  </w:tcBorders>
                  <w:shd w:fill="auto" w:val="clear"/>
                  <w:vAlign w:val="center"/>
                </w:tcPr>
                <w:p>
                  <w:pPr>
                    <w:pStyle w:val="Normal"/>
                    <w:spacing w:lineRule="auto" w:line="240" w:before="0" w:after="0"/>
                    <w:rPr>
                      <w:rFonts w:ascii="Cambria" w:hAnsi="Cambria" w:cs="Tahoma" w:asciiTheme="majorHAnsi" w:hAnsiTheme="majorHAnsi"/>
                      <w:color w:val="6A6969"/>
                      <w:sz w:val="18"/>
                      <w:szCs w:val="20"/>
                      <w:lang w:eastAsia="en-GB"/>
                    </w:rPr>
                  </w:pPr>
                  <w:r>
                    <w:rPr>
                      <w:rFonts w:ascii="Cambria" w:hAnsi="Cambria" w:asciiTheme="majorHAnsi" w:hAnsiTheme="majorHAnsi"/>
                      <w:b/>
                      <w:sz w:val="18"/>
                    </w:rPr>
                    <w:t>ITSM Cert:</w:t>
                  </w:r>
                  <w:r>
                    <w:rPr>
                      <w:rFonts w:ascii="Cambria" w:hAnsi="Cambria" w:asciiTheme="majorHAnsi" w:hAnsiTheme="majorHAnsi"/>
                      <w:sz w:val="18"/>
                    </w:rPr>
                    <w:t xml:space="preserve"> ITIL v4</w:t>
                  </w:r>
                </w:p>
              </w:tc>
            </w:tr>
          </w:tbl>
          <w:p>
            <w:pPr>
              <w:pStyle w:val="Normal"/>
              <w:spacing w:before="0" w:after="0"/>
              <w:rPr>
                <w:rFonts w:ascii="Cambria" w:hAnsi="Cambria" w:cs="Tahoma"/>
                <w:b/>
                <w:b/>
                <w:color w:val="075650"/>
              </w:rPr>
            </w:pPr>
            <w:r>
              <w:rPr>
                <w:rFonts w:cs="Tahoma" w:ascii="Cambria" w:hAnsi="Cambria"/>
                <w:b/>
                <w:color w:val="075650"/>
              </w:rPr>
            </w:r>
          </w:p>
        </w:tc>
      </w:tr>
      <w:tr>
        <w:trPr>
          <w:trHeight w:val="1323" w:hRule="atLeast"/>
        </w:trPr>
        <w:tc>
          <w:tcPr>
            <w:tcW w:w="11378" w:type="dxa"/>
            <w:gridSpan w:val="3"/>
            <w:tcBorders/>
            <w:shd w:fill="auto" w:val="clear"/>
          </w:tcPr>
          <w:p>
            <w:pPr>
              <w:pStyle w:val="Normal"/>
              <w:spacing w:lineRule="auto" w:line="240" w:before="0" w:after="0"/>
              <w:rPr>
                <w:rFonts w:ascii="Cambria" w:hAnsi="Cambria" w:cs="Tahoma"/>
                <w:b/>
                <w:b/>
                <w:color w:val="154960"/>
                <w:sz w:val="24"/>
              </w:rPr>
            </w:pPr>
            <w:r>
              <w:rPr/>
              <w:drawing>
                <wp:inline distT="0" distB="0" distL="0" distR="0">
                  <wp:extent cx="228600" cy="228600"/>
                  <wp:effectExtent l="0" t="0" r="0" b="0"/>
                  <wp:docPr id="4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4" descr=""/>
                          <pic:cNvPicPr>
                            <a:picLocks noChangeAspect="1" noChangeArrowheads="1"/>
                          </pic:cNvPicPr>
                        </pic:nvPicPr>
                        <pic:blipFill>
                          <a:blip r:embed="rId35"/>
                          <a:stretch>
                            <a:fillRect/>
                          </a:stretch>
                        </pic:blipFill>
                        <pic:spPr bwMode="auto">
                          <a:xfrm>
                            <a:off x="0" y="0"/>
                            <a:ext cx="228600" cy="228600"/>
                          </a:xfrm>
                          <a:prstGeom prst="rect">
                            <a:avLst/>
                          </a:prstGeom>
                        </pic:spPr>
                      </pic:pic>
                    </a:graphicData>
                  </a:graphic>
                </wp:inline>
              </w:drawing>
            </w:r>
            <w:r>
              <w:rPr>
                <w:rFonts w:cs="Tahoma" w:ascii="Cambria" w:hAnsi="Cambria"/>
                <w:b/>
                <w:color w:val="154960"/>
                <w:sz w:val="24"/>
              </w:rPr>
              <w:t xml:space="preserve"> </w:t>
            </w:r>
            <w:r>
              <w:rPr>
                <w:rFonts w:cs="Tahoma" w:ascii="Cambria" w:hAnsi="Cambria"/>
                <w:b/>
                <w:color w:val="154960"/>
                <w:sz w:val="24"/>
              </w:rPr>
              <w:t>EDUCATION</w:t>
            </w:r>
          </w:p>
          <w:p>
            <w:pPr>
              <w:pStyle w:val="Normal"/>
              <w:spacing w:lineRule="auto" w:line="240" w:before="0" w:after="0"/>
              <w:jc w:val="both"/>
              <w:rPr>
                <w:rFonts w:ascii="Cambria" w:hAnsi="Cambria" w:asciiTheme="majorHAnsi" w:hAnsiTheme="majorHAnsi"/>
                <w:sz w:val="18"/>
              </w:rPr>
            </w:pPr>
            <w:r>
              <w:rPr>
                <w:rFonts w:asciiTheme="majorHAnsi" w:hAnsiTheme="majorHAnsi" w:ascii="Cambria" w:hAnsi="Cambria"/>
                <w:sz w:val="18"/>
              </w:rPr>
            </w:r>
          </w:p>
          <w:p>
            <w:pPr>
              <w:pStyle w:val="ListParagraph"/>
              <w:numPr>
                <w:ilvl w:val="0"/>
                <w:numId w:val="3"/>
              </w:numPr>
              <w:spacing w:lineRule="auto" w:line="240" w:before="0" w:after="0"/>
              <w:contextualSpacing/>
              <w:jc w:val="both"/>
              <w:rPr>
                <w:rFonts w:ascii="Cambria" w:hAnsi="Cambria" w:asciiTheme="majorHAnsi" w:hAnsiTheme="majorHAnsi"/>
                <w:sz w:val="18"/>
              </w:rPr>
            </w:pPr>
            <w:r>
              <w:rPr>
                <w:rFonts w:ascii="Cambria" w:hAnsi="Cambria" w:asciiTheme="majorHAnsi" w:hAnsiTheme="majorHAnsi"/>
                <w:sz w:val="18"/>
              </w:rPr>
              <w:t>Pursuing Masters in Data Science from University of Essex, United Kingdom</w:t>
            </w:r>
          </w:p>
          <w:p>
            <w:pPr>
              <w:pStyle w:val="ListParagraph"/>
              <w:numPr>
                <w:ilvl w:val="0"/>
                <w:numId w:val="3"/>
              </w:numPr>
              <w:spacing w:lineRule="auto" w:line="240" w:before="0" w:after="0"/>
              <w:contextualSpacing/>
              <w:jc w:val="both"/>
              <w:rPr>
                <w:rFonts w:ascii="Cambria" w:hAnsi="Cambria" w:asciiTheme="majorHAnsi" w:hAnsiTheme="majorHAnsi"/>
                <w:sz w:val="18"/>
              </w:rPr>
            </w:pPr>
            <w:r>
              <w:rPr>
                <w:rFonts w:ascii="Cambria" w:hAnsi="Cambria" w:asciiTheme="majorHAnsi" w:hAnsiTheme="majorHAnsi"/>
                <w:sz w:val="18"/>
              </w:rPr>
              <w:t>BCA from Sikkim Manipal University, Gangtok, Sikkim</w:t>
            </w:r>
          </w:p>
        </w:tc>
      </w:tr>
      <w:tr>
        <w:trPr>
          <w:trHeight w:val="1323" w:hRule="atLeast"/>
        </w:trPr>
        <w:tc>
          <w:tcPr>
            <w:tcW w:w="11378" w:type="dxa"/>
            <w:gridSpan w:val="3"/>
            <w:tcBorders/>
            <w:shd w:color="auto" w:fill="154960" w:val="clear"/>
          </w:tcPr>
          <w:p>
            <w:pPr>
              <w:pStyle w:val="Normal"/>
              <w:spacing w:lineRule="auto" w:line="240" w:before="0" w:after="0"/>
              <w:rPr>
                <w:rFonts w:ascii="Cambria" w:hAnsi="Cambria" w:cs="Tahoma"/>
                <w:b/>
                <w:b/>
                <w:color w:val="FFFFFF" w:themeColor="background1"/>
                <w:sz w:val="14"/>
              </w:rPr>
            </w:pPr>
            <w:r>
              <w:rPr>
                <w:rFonts w:cs="Tahoma" w:ascii="Cambria" w:hAnsi="Cambria"/>
                <w:b/>
                <w:color w:val="FFFFFF" w:themeColor="background1"/>
                <w:sz w:val="14"/>
              </w:rPr>
            </w:r>
          </w:p>
          <w:p>
            <w:pPr>
              <w:pStyle w:val="Normal"/>
              <w:spacing w:lineRule="auto" w:line="240" w:before="0" w:after="0"/>
              <w:rPr>
                <w:rFonts w:ascii="Cambria" w:hAnsi="Cambria" w:cs="Tahoma"/>
                <w:b/>
                <w:b/>
                <w:color w:val="FFFFFF" w:themeColor="background1"/>
              </w:rPr>
            </w:pPr>
            <w:r>
              <w:rPr/>
              <w:drawing>
                <wp:inline distT="0" distB="0" distL="0" distR="0">
                  <wp:extent cx="228600" cy="228600"/>
                  <wp:effectExtent l="0" t="0" r="0" b="0"/>
                  <wp:docPr id="4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descr=""/>
                          <pic:cNvPicPr>
                            <a:picLocks noChangeAspect="1" noChangeArrowheads="1"/>
                          </pic:cNvPicPr>
                        </pic:nvPicPr>
                        <pic:blipFill>
                          <a:blip r:embed="rId36"/>
                          <a:stretch>
                            <a:fillRect/>
                          </a:stretch>
                        </pic:blipFill>
                        <pic:spPr bwMode="auto">
                          <a:xfrm>
                            <a:off x="0" y="0"/>
                            <a:ext cx="228600" cy="228600"/>
                          </a:xfrm>
                          <a:prstGeom prst="rect">
                            <a:avLst/>
                          </a:prstGeom>
                        </pic:spPr>
                      </pic:pic>
                    </a:graphicData>
                  </a:graphic>
                </wp:inline>
              </w:drawing>
            </w:r>
            <w:r>
              <w:rPr>
                <w:rFonts w:cs="Tahoma" w:ascii="Cambria" w:hAnsi="Cambria"/>
                <w:b/>
                <w:color w:val="FFFFFF" w:themeColor="background1"/>
              </w:rPr>
              <w:t xml:space="preserve">  </w:t>
            </w:r>
            <w:r>
              <w:rPr>
                <w:rFonts w:cs="Tahoma" w:ascii="Cambria" w:hAnsi="Cambria"/>
                <w:b/>
                <w:color w:val="FFFFFF" w:themeColor="background1"/>
                <w:sz w:val="24"/>
              </w:rPr>
              <w:t>PERSONAL DETAILS</w:t>
            </w:r>
          </w:p>
          <w:p>
            <w:pPr>
              <w:pStyle w:val="Normal"/>
              <w:spacing w:lineRule="auto" w:line="240" w:before="0" w:after="0"/>
              <w:rPr>
                <w:rFonts w:ascii="Cambria" w:hAnsi="Cambria" w:cs="Tahoma"/>
                <w:b/>
                <w:b/>
                <w:color w:val="FFFFFF" w:themeColor="background1"/>
                <w:sz w:val="12"/>
              </w:rPr>
            </w:pPr>
            <w:r>
              <w:rPr>
                <w:rFonts w:cs="Tahoma" w:ascii="Cambria" w:hAnsi="Cambria"/>
                <w:b/>
                <w:color w:val="FFFFFF" w:themeColor="background1"/>
                <w:sz w:val="12"/>
              </w:rPr>
            </w:r>
          </w:p>
          <w:p>
            <w:pPr>
              <w:pStyle w:val="Normal"/>
              <w:tabs>
                <w:tab w:val="left" w:pos="2670" w:leader="none"/>
              </w:tabs>
              <w:spacing w:lineRule="auto" w:line="240" w:before="0" w:after="0"/>
              <w:jc w:val="both"/>
              <w:rPr>
                <w:rFonts w:ascii="Cambria" w:hAnsi="Cambria" w:eastAsia="Calibri" w:cs="Calibri" w:asciiTheme="majorHAnsi" w:cstheme="minorHAnsi" w:hAnsiTheme="majorHAnsi"/>
                <w:color w:val="EEECE1" w:themeColor="background2"/>
                <w:sz w:val="20"/>
                <w:szCs w:val="18"/>
                <w:lang w:val="pt-PT"/>
              </w:rPr>
            </w:pPr>
            <w:r>
              <w:rPr>
                <w:rFonts w:eastAsia="Calibri" w:cs="Calibri" w:ascii="Cambria" w:hAnsi="Cambria" w:asciiTheme="majorHAnsi" w:cstheme="minorHAnsi" w:hAnsiTheme="majorHAnsi"/>
                <w:b/>
                <w:color w:val="EEECE1" w:themeColor="background2"/>
                <w:sz w:val="20"/>
                <w:szCs w:val="18"/>
              </w:rPr>
              <w:t xml:space="preserve">Visa Available: </w:t>
            </w:r>
            <w:r>
              <w:rPr>
                <w:rFonts w:eastAsia="Calibri" w:cs="Calibri" w:ascii="Cambria" w:hAnsi="Cambria" w:asciiTheme="majorHAnsi" w:cstheme="minorHAnsi" w:hAnsiTheme="majorHAnsi"/>
                <w:bCs/>
                <w:color w:val="EEECE1" w:themeColor="background2"/>
                <w:sz w:val="20"/>
                <w:szCs w:val="18"/>
                <w:lang w:val="pt-PT"/>
              </w:rPr>
              <w:t>B1/B2 Visa for U.S.A., Visitor for Canada, both valid till 2032, Visitor for Australia valid till 2027. Student Visa, UK valid till Nov 2026</w:t>
            </w:r>
            <w:r>
              <w:rPr>
                <w:rFonts w:eastAsia="Calibri" w:cs="Calibri" w:ascii="Cambria" w:hAnsi="Cambria" w:asciiTheme="majorHAnsi" w:cstheme="minorHAnsi" w:hAnsiTheme="majorHAnsi"/>
                <w:color w:val="EEECE1" w:themeColor="background2"/>
                <w:sz w:val="20"/>
                <w:szCs w:val="18"/>
                <w:lang w:val="pt-PT"/>
              </w:rPr>
              <w:t xml:space="preserve">                                                      </w:t>
            </w:r>
          </w:p>
          <w:p>
            <w:pPr>
              <w:pStyle w:val="Normal"/>
              <w:tabs>
                <w:tab w:val="left" w:pos="2670" w:leader="none"/>
              </w:tabs>
              <w:spacing w:lineRule="auto" w:line="240" w:before="0" w:after="0"/>
              <w:jc w:val="both"/>
              <w:rPr>
                <w:rFonts w:ascii="Cambria" w:hAnsi="Cambria" w:eastAsia="Calibri" w:cs="Calibri" w:asciiTheme="majorHAnsi" w:cstheme="minorHAnsi" w:hAnsiTheme="majorHAnsi"/>
                <w:sz w:val="20"/>
                <w:szCs w:val="18"/>
                <w:lang w:val="pt-PT"/>
              </w:rPr>
            </w:pPr>
            <w:r>
              <w:rPr>
                <w:rFonts w:eastAsia="Calibri" w:cs="Calibri" w:ascii="Cambria" w:hAnsi="Cambria" w:asciiTheme="majorHAnsi" w:cstheme="minorHAnsi" w:hAnsiTheme="majorHAnsi"/>
                <w:b/>
                <w:color w:val="EEECE1" w:themeColor="background2"/>
                <w:sz w:val="20"/>
                <w:szCs w:val="18"/>
                <w:lang w:val="pt-PT"/>
              </w:rPr>
              <w:t xml:space="preserve">Languages Known: </w:t>
            </w:r>
            <w:r>
              <w:rPr>
                <w:rFonts w:eastAsia="Calibri" w:cs="Calibri" w:ascii="Cambria" w:hAnsi="Cambria" w:asciiTheme="majorHAnsi" w:cstheme="minorHAnsi" w:hAnsiTheme="majorHAnsi"/>
                <w:color w:val="EEECE1" w:themeColor="background2"/>
                <w:sz w:val="20"/>
                <w:szCs w:val="18"/>
                <w:lang w:val="pt-PT"/>
              </w:rPr>
              <w:t xml:space="preserve">English, Hindi || </w:t>
            </w:r>
            <w:r>
              <w:rPr>
                <w:rFonts w:eastAsia="Calibri" w:cs="Calibri" w:ascii="Cambria" w:hAnsi="Cambria" w:asciiTheme="majorHAnsi" w:cstheme="minorHAnsi" w:hAnsiTheme="majorHAnsi"/>
                <w:b/>
                <w:color w:val="EEECE1" w:themeColor="background2"/>
                <w:sz w:val="20"/>
                <w:szCs w:val="18"/>
                <w:lang w:val="pt-PT"/>
              </w:rPr>
              <w:t>Address: 251/2, Sector 14, Panchkula, Haryana, India - 134109</w:t>
            </w:r>
          </w:p>
        </w:tc>
      </w:tr>
      <w:tr>
        <w:trPr>
          <w:trHeight w:val="1323" w:hRule="atLeast"/>
        </w:trPr>
        <w:tc>
          <w:tcPr>
            <w:tcW w:w="11378" w:type="dxa"/>
            <w:gridSpan w:val="3"/>
            <w:tcBorders/>
            <w:shd w:color="auto" w:fill="FFFFFF" w:themeFill="background1" w:val="clear"/>
          </w:tcPr>
          <w:p>
            <w:pPr>
              <w:pStyle w:val="Normal"/>
              <w:spacing w:lineRule="auto" w:line="276" w:before="0" w:after="0"/>
              <w:rPr>
                <w:rFonts w:ascii="Cambria" w:hAnsi="Cambria" w:cs="Tahoma" w:asciiTheme="majorHAnsi" w:hAnsiTheme="majorHAnsi"/>
                <w:b/>
                <w:b/>
                <w:color w:val="154960"/>
                <w:sz w:val="24"/>
              </w:rPr>
            </w:pPr>
            <w:r>
              <w:rPr/>
              <w:drawing>
                <wp:inline distT="0" distB="0" distL="0" distR="0">
                  <wp:extent cx="228600" cy="228600"/>
                  <wp:effectExtent l="0" t="0" r="0" b="0"/>
                  <wp:docPr id="47"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descr=""/>
                          <pic:cNvPicPr>
                            <a:picLocks noChangeAspect="1" noChangeArrowheads="1"/>
                          </pic:cNvPicPr>
                        </pic:nvPicPr>
                        <pic:blipFill>
                          <a:blip r:embed="rId37"/>
                          <a:stretch>
                            <a:fillRect/>
                          </a:stretch>
                        </pic:blipFill>
                        <pic:spPr bwMode="auto">
                          <a:xfrm>
                            <a:off x="0" y="0"/>
                            <a:ext cx="228600" cy="228600"/>
                          </a:xfrm>
                          <a:prstGeom prst="rect">
                            <a:avLst/>
                          </a:prstGeom>
                        </pic:spPr>
                      </pic:pic>
                    </a:graphicData>
                  </a:graphic>
                </wp:inline>
              </w:drawing>
            </w:r>
            <w:r>
              <w:rPr>
                <w:rFonts w:cs="Tahoma" w:ascii="Cambria" w:hAnsi="Cambria" w:asciiTheme="majorHAnsi" w:hAnsiTheme="majorHAnsi"/>
                <w:b/>
                <w:color w:val="154960"/>
              </w:rPr>
              <w:t xml:space="preserve"> </w:t>
            </w:r>
            <w:r>
              <w:rPr>
                <w:rFonts w:cs="Tahoma" w:ascii="Cambria" w:hAnsi="Cambria" w:asciiTheme="majorHAnsi" w:hAnsiTheme="majorHAnsi"/>
                <w:b/>
                <w:color w:val="154960"/>
                <w:sz w:val="24"/>
              </w:rPr>
              <w:t xml:space="preserve">ANNEXURE </w:t>
            </w:r>
          </w:p>
          <w:p>
            <w:pPr>
              <w:pStyle w:val="Normal"/>
              <w:shd w:val="clear" w:color="auto" w:fill="D9D9D9" w:themeFill="background1" w:themeFillShade="d9"/>
              <w:spacing w:lineRule="auto" w:line="276" w:before="0" w:after="0"/>
              <w:rPr>
                <w:rFonts w:ascii="Cambria" w:hAnsi="Cambria" w:cs="Calibri" w:asciiTheme="majorHAnsi" w:cstheme="minorHAnsi" w:hAnsiTheme="majorHAnsi"/>
                <w:color w:val="000000" w:themeColor="text1"/>
                <w:sz w:val="18"/>
                <w:szCs w:val="18"/>
                <w:lang w:val="en-GB"/>
              </w:rPr>
            </w:pPr>
            <w:r>
              <w:rPr>
                <w:rFonts w:cs="Calibri" w:ascii="Georgia" w:hAnsi="Georgia" w:cstheme="minorHAnsi"/>
                <w:b/>
                <w:color w:val="000000" w:themeColor="text1"/>
                <w:sz w:val="20"/>
                <w:szCs w:val="18"/>
                <w:lang w:val="en-GB"/>
              </w:rPr>
              <w:t>Atomic North (Supra ITS, Canada)</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Client:</w:t>
            </w:r>
            <w:r>
              <w:rPr>
                <w:rFonts w:cs="Calibri" w:ascii="Cambria" w:hAnsi="Cambria" w:asciiTheme="majorHAnsi" w:cstheme="minorHAnsi" w:hAnsiTheme="majorHAnsi"/>
                <w:sz w:val="18"/>
                <w:szCs w:val="18"/>
                <w:lang w:val="en-GB" w:eastAsia="en-GB"/>
              </w:rPr>
              <w:t xml:space="preserve"> </w:t>
            </w:r>
            <w:r>
              <w:rPr>
                <w:rFonts w:cs="Calibri" w:ascii="Cambria" w:hAnsi="Cambria" w:asciiTheme="majorHAnsi" w:cstheme="minorHAnsi" w:hAnsiTheme="majorHAnsi"/>
                <w:b/>
                <w:bCs/>
                <w:sz w:val="18"/>
                <w:szCs w:val="18"/>
                <w:u w:val="single"/>
                <w:lang w:val="en-GB" w:eastAsia="en-GB"/>
              </w:rPr>
              <w:t>Multiple Customers (Canon, Canada and Supra, Canada)</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Security Assessment as per latest ISO standards and guidelines</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Technology:</w:t>
            </w:r>
            <w:r>
              <w:rPr>
                <w:rFonts w:cs="Calibri" w:ascii="Cambria" w:hAnsi="Cambria" w:asciiTheme="majorHAnsi" w:cstheme="minorHAnsi" w:hAnsiTheme="majorHAnsi"/>
                <w:sz w:val="18"/>
                <w:szCs w:val="18"/>
                <w:lang w:val="en-GB" w:eastAsia="en-GB"/>
              </w:rPr>
              <w:t xml:space="preserve"> Nessus, Spiceworks, MBSA, Tenable, Qualys, KnowBe4, CrowdStrike, SentinelOne, Wireshark</w:t>
            </w:r>
          </w:p>
          <w:p>
            <w:pPr>
              <w:pStyle w:val="ListParagraph"/>
              <w:spacing w:lineRule="auto" w:line="276" w:before="0" w:after="200"/>
              <w:ind w:left="212" w:hanging="0"/>
              <w:contextualSpacing/>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val="en-GB" w:eastAsia="en-GB"/>
              </w:rPr>
              <w:t>Multiple tasks performed for Security Assessment, Network Security, App and Web Security, Penetration Testing, SIEM/SOAR integration, Compliance and Policy Assessment</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Client:</w:t>
            </w:r>
            <w:r>
              <w:rPr>
                <w:rFonts w:cs="Calibri" w:ascii="Cambria" w:hAnsi="Cambria" w:asciiTheme="majorHAnsi" w:cstheme="minorHAnsi" w:hAnsiTheme="majorHAnsi"/>
                <w:sz w:val="18"/>
                <w:szCs w:val="18"/>
                <w:lang w:val="en-GB" w:eastAsia="en-GB"/>
              </w:rPr>
              <w:t xml:space="preserve"> </w:t>
            </w:r>
            <w:r>
              <w:rPr>
                <w:rFonts w:cs="Calibri" w:ascii="Cambria" w:hAnsi="Cambria" w:asciiTheme="majorHAnsi" w:cstheme="minorHAnsi" w:hAnsiTheme="majorHAnsi"/>
                <w:b/>
                <w:bCs/>
                <w:sz w:val="18"/>
                <w:szCs w:val="18"/>
                <w:u w:val="single"/>
                <w:lang w:val="en-GB" w:eastAsia="en-GB"/>
              </w:rPr>
              <w:t>Multiple Customers (Canon, Canada and Supra, Canada)</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Azure Migration of Infrastructure Devices</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Technology:</w:t>
            </w:r>
            <w:r>
              <w:rPr>
                <w:rFonts w:cs="Calibri" w:ascii="Cambria" w:hAnsi="Cambria" w:asciiTheme="majorHAnsi" w:cstheme="minorHAnsi" w:hAnsiTheme="majorHAnsi"/>
                <w:sz w:val="18"/>
                <w:szCs w:val="18"/>
                <w:lang w:val="en-GB" w:eastAsia="en-GB"/>
              </w:rPr>
              <w:t xml:space="preserve"> Azure Migrate, Azure DNS and Network Watcher, Azure AD Connect, AKS</w:t>
            </w:r>
          </w:p>
          <w:p>
            <w:pPr>
              <w:pStyle w:val="ListParagraph"/>
              <w:spacing w:lineRule="auto" w:line="276" w:before="0" w:after="200"/>
              <w:ind w:left="212" w:hanging="0"/>
              <w:contextualSpacing/>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eastAsia="en-GB"/>
              </w:rPr>
              <w:t>Azure migrations by discovering and assessing on</w:t>
              <w:noBreakHyphen/>
              <w:t>prem systems, then moving servers, apps, and data using Azure Migrate, DMS, and hybrid identity/networking tools to ensure a smooth and secure transition to the cloud.</w:t>
            </w:r>
          </w:p>
          <w:p>
            <w:pPr>
              <w:pStyle w:val="Normal"/>
              <w:spacing w:lineRule="auto" w:line="276" w:before="0" w:after="0"/>
              <w:jc w:val="both"/>
              <w:rPr>
                <w:rFonts w:ascii="Cambria" w:hAnsi="Cambria" w:cs="Calibri" w:asciiTheme="majorHAnsi" w:cstheme="minorHAnsi" w:hAnsiTheme="majorHAnsi"/>
                <w:b/>
                <w:b/>
                <w:bCs/>
                <w:sz w:val="18"/>
                <w:szCs w:val="18"/>
                <w:u w:val="single"/>
                <w:lang w:val="en-GB" w:eastAsia="en-GB"/>
              </w:rPr>
            </w:pPr>
            <w:r>
              <w:rPr>
                <w:rFonts w:cs="Calibri" w:ascii="Cambria" w:hAnsi="Cambria" w:asciiTheme="majorHAnsi" w:cstheme="minorHAnsi" w:hAnsiTheme="majorHAnsi"/>
                <w:b/>
                <w:bCs/>
                <w:sz w:val="18"/>
                <w:szCs w:val="18"/>
                <w:lang w:val="en-GB" w:eastAsia="en-GB"/>
              </w:rPr>
              <w:t>Client:</w:t>
            </w:r>
            <w:r>
              <w:rPr>
                <w:rFonts w:cs="Calibri" w:ascii="Cambria" w:hAnsi="Cambria" w:asciiTheme="majorHAnsi" w:cstheme="minorHAnsi" w:hAnsiTheme="majorHAnsi"/>
                <w:sz w:val="18"/>
                <w:szCs w:val="18"/>
                <w:lang w:val="en-GB" w:eastAsia="en-GB"/>
              </w:rPr>
              <w:t xml:space="preserve"> </w:t>
            </w:r>
            <w:r>
              <w:rPr>
                <w:rFonts w:cs="Calibri" w:ascii="Cambria" w:hAnsi="Cambria" w:asciiTheme="majorHAnsi" w:cstheme="minorHAnsi" w:hAnsiTheme="majorHAnsi"/>
                <w:b/>
                <w:bCs/>
                <w:sz w:val="18"/>
                <w:szCs w:val="18"/>
                <w:u w:val="single"/>
                <w:lang w:val="en-GB" w:eastAsia="en-GB"/>
              </w:rPr>
              <w:t>Multiple Customers (Canon, Canada and Supra, Canada)</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Program: Exchange / O365 Migration</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Technology:</w:t>
            </w:r>
            <w:r>
              <w:rPr>
                <w:rFonts w:cs="Calibri" w:ascii="Cambria" w:hAnsi="Cambria" w:asciiTheme="majorHAnsi" w:cstheme="minorHAnsi" w:hAnsiTheme="majorHAnsi"/>
                <w:sz w:val="18"/>
                <w:szCs w:val="18"/>
                <w:lang w:val="en-GB" w:eastAsia="en-GB"/>
              </w:rPr>
              <w:t xml:space="preserve"> M365 Readiness Tool, Azure AD Connect, HCW, PowerShell, MigrationWiz, PF Migration</w:t>
            </w:r>
          </w:p>
          <w:p>
            <w:pPr>
              <w:pStyle w:val="Normal"/>
              <w:spacing w:lineRule="auto" w:line="276" w:before="0" w:after="0"/>
              <w:ind w:left="212" w:hanging="0"/>
              <w:jc w:val="both"/>
              <w:rPr>
                <w:rFonts w:ascii="Cambria" w:hAnsi="Cambria" w:cs="Calibri" w:asciiTheme="majorHAnsi" w:cstheme="minorHAnsi" w:hAnsiTheme="majorHAnsi"/>
                <w:sz w:val="18"/>
                <w:szCs w:val="18"/>
                <w:lang w:eastAsia="en-GB"/>
              </w:rPr>
            </w:pPr>
            <w:r>
              <w:rPr>
                <w:rFonts w:cs="Calibri" w:ascii="Cambria" w:hAnsi="Cambria" w:asciiTheme="majorHAnsi" w:cstheme="minorHAnsi" w:hAnsiTheme="majorHAnsi"/>
                <w:sz w:val="18"/>
                <w:szCs w:val="18"/>
                <w:lang w:eastAsia="en-GB"/>
              </w:rPr>
              <w:t>Delivered end</w:t>
              <w:noBreakHyphen/>
              <w:t>to</w:t>
              <w:noBreakHyphen/>
              <w:t>end Exchange to Microsoft 365 migrations by preparing identity and hybrid connectivity, moving mailboxes and public folders using HCW, Azure AD Connect, and migration batches, and optimizing security, mail flow, and compliance for a seamless transition to Exchange Online</w:t>
            </w:r>
          </w:p>
          <w:p>
            <w:pPr>
              <w:pStyle w:val="Normal"/>
              <w:spacing w:lineRule="auto" w:line="276" w:before="0" w:after="0"/>
              <w:jc w:val="both"/>
              <w:rPr>
                <w:rFonts w:ascii="Cambria" w:hAnsi="Cambria" w:cs="Calibri" w:asciiTheme="majorHAnsi" w:cstheme="minorHAnsi" w:hAnsiTheme="majorHAnsi"/>
                <w:sz w:val="18"/>
                <w:szCs w:val="18"/>
                <w:lang w:eastAsia="en-GB"/>
              </w:rPr>
            </w:pPr>
            <w:r>
              <w:rPr>
                <w:rFonts w:cs="Calibri" w:cstheme="minorHAnsi" w:ascii="Cambria" w:hAnsi="Cambria"/>
                <w:sz w:val="18"/>
                <w:szCs w:val="18"/>
                <w:lang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Customer Onboarding</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Technology: Jira, ConnectWise, IT Glue, Veeam, Datto, Tenable, CrowdStrike, Excel, SharePoint, KnowBe4, SentinelOne, Adlumin</w:t>
            </w:r>
          </w:p>
          <w:p>
            <w:pPr>
              <w:pStyle w:val="Normal"/>
              <w:spacing w:lineRule="auto" w:line="276" w:before="0" w:after="0"/>
              <w:ind w:left="354" w:hanging="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val="en-GB" w:eastAsia="en-GB"/>
              </w:rPr>
              <w:t>Project Planning, Timeline and Resource alignment, Coordination between client, project team and management, Migration of servers, network devices, configuration, mailboxes to in-house DC or Azure Cloud</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cstheme="minorHAnsi" w:ascii="Cambria" w:hAnsi="Cambria"/>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Network Upgrade/ Network Migration/ Network Installation</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Technology: Auvik, FortiManager, Meraki, Cisco CLI, Cisco Prime, Aruba, pfSense, WireShark, Visio, Confluence</w:t>
            </w:r>
          </w:p>
          <w:p>
            <w:pPr>
              <w:pStyle w:val="Normal"/>
              <w:spacing w:lineRule="auto" w:line="276" w:before="0" w:after="0"/>
              <w:ind w:left="496" w:hanging="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eastAsia="en-GB"/>
              </w:rPr>
              <w:t>Delivered end</w:t>
              <w:noBreakHyphen/>
              <w:t>to</w:t>
              <w:noBreakHyphen/>
              <w:t>end network installations, upgrades, and migrations by auditing existing infrastructure, deploying and configuring switches, routers, firewalls, and wireless systems, and using tools like Cisco CLI, FortiGate, SolarWinds, and Wireshark to ensure secure, optimised, and reliable network performance.</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cstheme="minorHAnsi" w:ascii="Cambria" w:hAnsi="Cambria"/>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Development of AIOPs, Unified command centre                                                                                                                                               </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Technology: </w:t>
            </w:r>
            <w:r>
              <w:rPr>
                <w:rFonts w:cs="Calibri" w:ascii="Cambria" w:hAnsi="Cambria" w:asciiTheme="majorHAnsi" w:cstheme="minorHAnsi" w:hAnsiTheme="majorHAnsi"/>
                <w:sz w:val="18"/>
                <w:szCs w:val="18"/>
                <w:lang w:val="en-GB" w:eastAsia="en-GB"/>
              </w:rPr>
              <w:t>Azure ADO</w:t>
            </w:r>
            <w:r>
              <w:rPr>
                <w:rFonts w:cs="Calibri" w:ascii="Cambria" w:hAnsi="Cambria" w:asciiTheme="majorHAnsi" w:cstheme="minorHAnsi" w:hAnsiTheme="majorHAnsi"/>
                <w:b/>
                <w:bCs/>
                <w:sz w:val="18"/>
                <w:szCs w:val="18"/>
                <w:lang w:val="en-GB" w:eastAsia="en-GB"/>
              </w:rPr>
              <w:t xml:space="preserve">, </w:t>
            </w:r>
            <w:r>
              <w:rPr>
                <w:rFonts w:cs="Calibri" w:ascii="Cambria" w:hAnsi="Cambria" w:asciiTheme="majorHAnsi" w:cstheme="minorHAnsi" w:hAnsiTheme="majorHAnsi"/>
                <w:sz w:val="18"/>
                <w:szCs w:val="18"/>
              </w:rPr>
              <w:t>Azure DataLake, Azure Data Factory, Power App, Power BI, Azure Container Service (AKS) Kubernetes, Azure Blob Storage, Azure Data Bricks &amp; SQL DB, Appdynamics &amp; Splunk, Powerautomate, Dynamics 365 Customer Service</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cstheme="minorHAnsi" w:ascii="Cambria" w:hAnsi="Cambria"/>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Development NAS Automation for EMC Power scale                                                                                                                                         </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 xml:space="preserve">Technology: </w:t>
            </w:r>
            <w:r>
              <w:rPr>
                <w:rFonts w:cs="Calibri" w:ascii="Cambria" w:hAnsi="Cambria" w:asciiTheme="majorHAnsi" w:cstheme="minorHAnsi" w:hAnsiTheme="majorHAnsi"/>
                <w:sz w:val="18"/>
                <w:szCs w:val="18"/>
                <w:lang w:val="en-GB" w:eastAsia="en-GB"/>
              </w:rPr>
              <w:t xml:space="preserve">Azure DevOps, Service Now, Jenkin, Gitlab, </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EMC Power Scale NAS Migration (NAS Build, Lift &amp; Shift &amp; Migration)                                                                                                  </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 xml:space="preserve">Technology: </w:t>
            </w:r>
            <w:r>
              <w:rPr>
                <w:rFonts w:cs="Calibri" w:ascii="Cambria" w:hAnsi="Cambria" w:asciiTheme="majorHAnsi" w:cstheme="minorHAnsi" w:hAnsiTheme="majorHAnsi"/>
                <w:sz w:val="18"/>
                <w:szCs w:val="18"/>
                <w:lang w:val="en-GB" w:eastAsia="en-GB"/>
              </w:rPr>
              <w:t>Azure AD, Cisco switches, EMC Power scale NAS Boxes</w:t>
            </w:r>
          </w:p>
          <w:p>
            <w:pPr>
              <w:pStyle w:val="Normal"/>
              <w:spacing w:lineRule="auto" w:line="276" w:before="0" w:after="0"/>
              <w:jc w:val="both"/>
              <w:rPr>
                <w:rFonts w:cs="Calibri" w:cstheme="minorHAnsi"/>
                <w:b/>
                <w:b/>
                <w:bCs/>
                <w:sz w:val="18"/>
                <w:szCs w:val="18"/>
                <w:lang w:val="en-GB" w:eastAsia="en-GB"/>
              </w:rPr>
            </w:pPr>
            <w:r>
              <w:rPr>
                <w:rFonts w:cs="Calibri" w:cstheme="minorHAnsi"/>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Network Enablement (Racking/Stacking/Cabling)                                                                                                                                      </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 xml:space="preserve">Technology: </w:t>
            </w:r>
            <w:r>
              <w:rPr>
                <w:rFonts w:cs="Calibri" w:ascii="Cambria" w:hAnsi="Cambria" w:asciiTheme="majorHAnsi" w:cstheme="minorHAnsi" w:hAnsiTheme="majorHAnsi"/>
                <w:sz w:val="18"/>
                <w:szCs w:val="18"/>
                <w:lang w:val="en-GB" w:eastAsia="en-GB"/>
              </w:rPr>
              <w:t>Cisco switches, router &amp; firewall, Fortigate Firewall, packet broker, Load balancer</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cstheme="minorHAnsi" w:ascii="Cambria" w:hAnsi="Cambria"/>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 xml:space="preserve">Citrix to W365 Azure Desktop Migration                                                                                                                                                                  </w:t>
            </w:r>
          </w:p>
          <w:p>
            <w:pPr>
              <w:pStyle w:val="Normal"/>
              <w:spacing w:lineRule="auto" w:line="276" w:before="0" w:after="0"/>
              <w:ind w:right="-19" w:hanging="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 xml:space="preserve">Technology: </w:t>
            </w:r>
            <w:r>
              <w:rPr>
                <w:rFonts w:cs="Calibri" w:ascii="Cambria" w:hAnsi="Cambria" w:asciiTheme="majorHAnsi" w:cstheme="minorHAnsi" w:hAnsiTheme="majorHAnsi"/>
                <w:sz w:val="18"/>
                <w:szCs w:val="18"/>
                <w:lang w:val="en-GB" w:eastAsia="en-GB"/>
              </w:rPr>
              <w:t>Citrix, Azure Shared desktop</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Development/Deployment of SaaS                                         </w:t>
            </w:r>
          </w:p>
          <w:p>
            <w:pPr>
              <w:pStyle w:val="Normal"/>
              <w:spacing w:lineRule="auto" w:line="276" w:before="0" w:after="0"/>
              <w:ind w:right="-19" w:hanging="0"/>
              <w:jc w:val="both"/>
              <w:rPr>
                <w:rFonts w:ascii="Cambria" w:hAnsi="Cambria" w:cs="Calibri" w:asciiTheme="majorHAnsi" w:cstheme="minorHAnsi" w:hAnsiTheme="majorHAnsi"/>
                <w:bCs/>
                <w:spacing w:val="-6"/>
                <w:sz w:val="18"/>
                <w:szCs w:val="18"/>
                <w:lang w:eastAsia="en-GB"/>
              </w:rPr>
            </w:pPr>
            <w:r>
              <w:rPr>
                <w:rFonts w:cs="Calibri" w:ascii="Cambria" w:hAnsi="Cambria" w:asciiTheme="majorHAnsi" w:cstheme="minorHAnsi" w:hAnsiTheme="majorHAnsi"/>
                <w:b/>
                <w:spacing w:val="-6"/>
                <w:sz w:val="18"/>
                <w:szCs w:val="18"/>
                <w:lang w:eastAsia="en-GB"/>
              </w:rPr>
              <w:t xml:space="preserve">Technology: </w:t>
            </w:r>
            <w:r>
              <w:rPr>
                <w:rFonts w:cs="Calibri" w:ascii="Cambria" w:hAnsi="Cambria" w:asciiTheme="majorHAnsi" w:cstheme="minorHAnsi" w:hAnsiTheme="majorHAnsi"/>
                <w:bCs/>
                <w:spacing w:val="-6"/>
                <w:sz w:val="18"/>
                <w:szCs w:val="18"/>
                <w:lang w:eastAsia="en-GB"/>
              </w:rPr>
              <w:t>Ansible, GitHub, Jenkin, Linux, Windows, ChatGPT</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Migration of Cupps printer from RHEL to AWS</w:t>
              <w:tab/>
              <w:tab/>
              <w:tab/>
              <w:tab/>
              <w:t xml:space="preserve">                                                                                              </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Technology: </w:t>
            </w:r>
            <w:r>
              <w:rPr>
                <w:rFonts w:cs="Calibri" w:ascii="Cambria" w:hAnsi="Cambria" w:asciiTheme="majorHAnsi" w:cstheme="minorHAnsi" w:hAnsiTheme="majorHAnsi"/>
                <w:bCs/>
                <w:spacing w:val="-6"/>
                <w:sz w:val="18"/>
                <w:szCs w:val="18"/>
                <w:lang w:eastAsia="en-GB"/>
              </w:rPr>
              <w:t>AWS EC2, AWS Migration Services</w:t>
            </w:r>
          </w:p>
          <w:p>
            <w:pPr>
              <w:pStyle w:val="Normal"/>
              <w:spacing w:lineRule="auto" w:line="276" w:before="0" w:after="0"/>
              <w:ind w:right="-19" w:hanging="0"/>
              <w:jc w:val="both"/>
              <w:rPr>
                <w:rFonts w:ascii="Cambria" w:hAnsi="Cambria" w:cs="Calibri" w:asciiTheme="majorHAnsi" w:cstheme="minorHAnsi" w:hAnsiTheme="majorHAnsi"/>
                <w:bCs/>
                <w:spacing w:val="-6"/>
                <w:sz w:val="18"/>
                <w:szCs w:val="18"/>
                <w:lang w:eastAsia="en-GB"/>
              </w:rPr>
            </w:pPr>
            <w:r>
              <w:rPr>
                <w:rFonts w:cs="Calibri" w:cstheme="minorHAnsi" w:ascii="Cambria" w:hAnsi="Cambria"/>
                <w:bCs/>
                <w:spacing w:val="-6"/>
                <w:sz w:val="18"/>
                <w:szCs w:val="18"/>
                <w:lang w:eastAsia="en-GB"/>
              </w:rPr>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Migration of Windows Application to Azure Server</w:t>
              <w:tab/>
              <w:tab/>
              <w:tab/>
              <w:tab/>
              <w:t xml:space="preserve">                                                                                              </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Technology: </w:t>
            </w:r>
            <w:r>
              <w:rPr>
                <w:rFonts w:cs="Calibri" w:ascii="Cambria" w:hAnsi="Cambria" w:asciiTheme="majorHAnsi" w:cstheme="minorHAnsi" w:hAnsiTheme="majorHAnsi"/>
                <w:bCs/>
                <w:spacing w:val="-6"/>
                <w:sz w:val="18"/>
                <w:szCs w:val="18"/>
                <w:lang w:eastAsia="en-GB"/>
              </w:rPr>
              <w:t>Azure Expressways &amp; Appliances</w:t>
            </w:r>
          </w:p>
          <w:p>
            <w:pPr>
              <w:pStyle w:val="Normal"/>
              <w:spacing w:lineRule="auto" w:line="276" w:before="0" w:after="0"/>
              <w:ind w:right="-19" w:hanging="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p>
            <w:pPr>
              <w:pStyle w:val="Normal"/>
              <w:shd w:val="clear" w:color="auto" w:fill="D9D9D9" w:themeFill="background1" w:themeFillShade="d9"/>
              <w:spacing w:lineRule="auto" w:line="276" w:before="0" w:after="0"/>
              <w:rPr>
                <w:rFonts w:ascii="Georgia" w:hAnsi="Georgia" w:cs="Calibri" w:cstheme="minorHAnsi"/>
                <w:b/>
                <w:b/>
                <w:color w:val="000000" w:themeColor="text1"/>
                <w:sz w:val="20"/>
                <w:szCs w:val="18"/>
                <w:lang w:val="en-GB"/>
              </w:rPr>
            </w:pPr>
            <w:r>
              <w:rPr>
                <w:rFonts w:cs="Calibri" w:ascii="Georgia" w:hAnsi="Georgia" w:cstheme="minorHAnsi"/>
                <w:b/>
                <w:color w:val="000000" w:themeColor="text1"/>
                <w:sz w:val="20"/>
                <w:szCs w:val="18"/>
                <w:lang w:val="en-GB"/>
              </w:rPr>
              <w:t>IT By Design, Chandigarh</w:t>
            </w:r>
          </w:p>
          <w:p>
            <w:pPr>
              <w:pStyle w:val="Normal"/>
              <w:spacing w:lineRule="auto" w:line="276" w:before="0" w:after="0"/>
              <w:rPr>
                <w:rFonts w:ascii="Cambria" w:hAnsi="Cambria" w:cs="Calibri" w:asciiTheme="majorHAnsi" w:cstheme="minorHAnsi" w:hAnsiTheme="majorHAnsi"/>
                <w:spacing w:val="-6"/>
                <w:sz w:val="18"/>
                <w:szCs w:val="18"/>
                <w:lang w:eastAsia="en-GB"/>
              </w:rPr>
            </w:pPr>
            <w:r>
              <w:rPr>
                <w:rFonts w:cs="Calibri" w:cstheme="minorHAnsi" w:ascii="Cambria" w:hAnsi="Cambria"/>
                <w:spacing w:val="-6"/>
                <w:sz w:val="18"/>
                <w:szCs w:val="18"/>
                <w:lang w:eastAsia="en-GB"/>
              </w:rPr>
            </w:r>
          </w:p>
          <w:p>
            <w:pPr>
              <w:pStyle w:val="Normal"/>
              <w:spacing w:lineRule="auto" w:line="276" w:before="0" w:after="0"/>
              <w:jc w:val="both"/>
              <w:rPr>
                <w:rFonts w:ascii="Cambria" w:hAnsi="Cambria" w:cs="Calibri" w:asciiTheme="majorHAnsi" w:cstheme="minorHAnsi" w:hAnsiTheme="majorHAnsi"/>
                <w:b/>
                <w:b/>
                <w:spacing w:val="-6"/>
                <w:sz w:val="18"/>
                <w:szCs w:val="18"/>
                <w:lang w:val="fr-FR" w:eastAsia="en-GB"/>
              </w:rPr>
            </w:pPr>
            <w:r>
              <w:rPr>
                <w:rFonts w:cs="Calibri" w:ascii="Cambria" w:hAnsi="Cambria" w:asciiTheme="majorHAnsi" w:cstheme="minorHAnsi" w:hAnsiTheme="majorHAnsi"/>
                <w:b/>
                <w:spacing w:val="-6"/>
                <w:sz w:val="18"/>
                <w:szCs w:val="18"/>
                <w:lang w:val="fr-FR" w:eastAsia="en-GB"/>
              </w:rPr>
              <w:t xml:space="preserve">Client: </w:t>
            </w:r>
            <w:r>
              <w:rPr>
                <w:rFonts w:cs="Calibri" w:ascii="Cambria" w:hAnsi="Cambria" w:asciiTheme="majorHAnsi" w:cstheme="minorHAnsi" w:hAnsiTheme="majorHAnsi"/>
                <w:b/>
                <w:spacing w:val="-6"/>
                <w:sz w:val="18"/>
                <w:szCs w:val="18"/>
                <w:u w:val="single"/>
                <w:lang w:val="fr-FR" w:eastAsia="en-GB"/>
              </w:rPr>
              <w:t>Multiple Clients</w:t>
            </w:r>
            <w:r>
              <w:rPr>
                <w:rFonts w:cs="Calibri" w:ascii="Cambria" w:hAnsi="Cambria" w:asciiTheme="majorHAnsi" w:cstheme="minorHAnsi" w:hAnsiTheme="majorHAnsi"/>
                <w:b/>
                <w:spacing w:val="-6"/>
                <w:sz w:val="18"/>
                <w:szCs w:val="18"/>
                <w:lang w:val="fr-FR" w:eastAsia="en-GB"/>
              </w:rPr>
              <w:t xml:space="preserve">                                                                                                                                                                                                                                                         </w:t>
            </w:r>
          </w:p>
          <w:p>
            <w:pPr>
              <w:pStyle w:val="Normal"/>
              <w:spacing w:lineRule="auto" w:line="276" w:before="0" w:after="0"/>
              <w:jc w:val="both"/>
              <w:rPr>
                <w:rFonts w:ascii="Cambria" w:hAnsi="Cambria" w:cs="Calibri" w:asciiTheme="majorHAnsi" w:cstheme="minorHAnsi" w:hAnsiTheme="majorHAnsi"/>
                <w:b/>
                <w:b/>
                <w:spacing w:val="-6"/>
                <w:sz w:val="18"/>
                <w:szCs w:val="18"/>
                <w:lang w:val="fr-FR" w:eastAsia="en-GB"/>
              </w:rPr>
            </w:pPr>
            <w:r>
              <w:rPr>
                <w:rFonts w:cs="Calibri" w:ascii="Cambria" w:hAnsi="Cambria" w:asciiTheme="majorHAnsi" w:cstheme="minorHAnsi" w:hAnsiTheme="majorHAnsi"/>
                <w:b/>
                <w:spacing w:val="-6"/>
                <w:sz w:val="18"/>
                <w:szCs w:val="18"/>
                <w:lang w:val="fr-FR" w:eastAsia="en-GB"/>
              </w:rPr>
              <w:t xml:space="preserve">Transition &amp; Transformation cum Ops Manager      </w:t>
            </w:r>
          </w:p>
          <w:p>
            <w:pPr>
              <w:pStyle w:val="Normal"/>
              <w:spacing w:lineRule="auto" w:line="276" w:before="0" w:after="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Technology: </w:t>
            </w:r>
            <w:r>
              <w:rPr>
                <w:rFonts w:cs="Calibri" w:ascii="Cambria" w:hAnsi="Cambria" w:asciiTheme="majorHAnsi" w:cstheme="minorHAnsi" w:hAnsiTheme="majorHAnsi"/>
                <w:bCs/>
                <w:spacing w:val="-6"/>
                <w:sz w:val="18"/>
                <w:szCs w:val="18"/>
                <w:lang w:eastAsia="en-GB"/>
              </w:rPr>
              <w:t>Transition and Transformation Project Manager with setting up service desk, OMC, Service lines of distributed platform with ServiceNow. Followed by working as Ops Manager for the same account.</w:t>
            </w:r>
            <w:r>
              <w:rPr>
                <w:rFonts w:cs="Calibri" w:ascii="Cambria" w:hAnsi="Cambria" w:asciiTheme="majorHAnsi" w:cstheme="minorHAnsi" w:hAnsiTheme="majorHAnsi"/>
                <w:b/>
                <w:spacing w:val="-6"/>
                <w:sz w:val="18"/>
                <w:szCs w:val="18"/>
                <w:lang w:eastAsia="en-GB"/>
              </w:rPr>
              <w:t xml:space="preserve">                                                                                                                                                                        </w:t>
            </w:r>
          </w:p>
          <w:p>
            <w:pPr>
              <w:pStyle w:val="Normal"/>
              <w:spacing w:lineRule="auto" w:line="276" w:before="0" w:after="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p>
            <w:pPr>
              <w:pStyle w:val="Normal"/>
              <w:spacing w:lineRule="auto" w:line="276" w:before="0" w:after="0"/>
              <w:jc w:val="both"/>
              <w:rPr>
                <w:rFonts w:ascii="Cambria" w:hAnsi="Cambria" w:cs="Calibri" w:asciiTheme="majorHAnsi" w:cstheme="minorHAnsi" w:hAnsiTheme="majorHAnsi"/>
                <w:b/>
                <w:b/>
                <w:spacing w:val="-6"/>
                <w:sz w:val="18"/>
                <w:szCs w:val="18"/>
                <w:lang w:val="fr-FR" w:eastAsia="en-GB"/>
              </w:rPr>
            </w:pPr>
            <w:r>
              <w:rPr>
                <w:rFonts w:cs="Calibri" w:ascii="Cambria" w:hAnsi="Cambria" w:asciiTheme="majorHAnsi" w:cstheme="minorHAnsi" w:hAnsiTheme="majorHAnsi"/>
                <w:b/>
                <w:spacing w:val="-6"/>
                <w:sz w:val="18"/>
                <w:szCs w:val="18"/>
                <w:lang w:val="fr-FR" w:eastAsia="en-GB"/>
              </w:rPr>
              <w:t xml:space="preserve">Client: </w:t>
            </w:r>
            <w:r>
              <w:rPr>
                <w:rFonts w:cs="Calibri" w:ascii="Cambria" w:hAnsi="Cambria" w:asciiTheme="majorHAnsi" w:cstheme="minorHAnsi" w:hAnsiTheme="majorHAnsi"/>
                <w:b/>
                <w:spacing w:val="-6"/>
                <w:sz w:val="18"/>
                <w:szCs w:val="18"/>
                <w:u w:val="single"/>
                <w:lang w:val="fr-FR" w:eastAsia="en-GB"/>
              </w:rPr>
              <w:t>Multiple Clients</w:t>
            </w:r>
            <w:r>
              <w:rPr>
                <w:rFonts w:cs="Calibri" w:ascii="Cambria" w:hAnsi="Cambria" w:asciiTheme="majorHAnsi" w:cstheme="minorHAnsi" w:hAnsiTheme="majorHAnsi"/>
                <w:b/>
                <w:spacing w:val="-6"/>
                <w:sz w:val="18"/>
                <w:szCs w:val="18"/>
                <w:lang w:val="fr-FR" w:eastAsia="en-GB"/>
              </w:rPr>
              <w:t xml:space="preserve">                                                                                                                                                                                                                                                           </w:t>
            </w:r>
          </w:p>
          <w:p>
            <w:pPr>
              <w:pStyle w:val="Normal"/>
              <w:spacing w:lineRule="auto" w:line="276" w:before="0" w:after="0"/>
              <w:jc w:val="both"/>
              <w:rPr>
                <w:rFonts w:ascii="Cambria" w:hAnsi="Cambria" w:cs="Calibri" w:asciiTheme="majorHAnsi" w:cstheme="minorHAnsi" w:hAnsiTheme="majorHAnsi"/>
                <w:b/>
                <w:b/>
                <w:spacing w:val="-6"/>
                <w:sz w:val="18"/>
                <w:szCs w:val="18"/>
                <w:lang w:val="fr-FR" w:eastAsia="en-GB"/>
              </w:rPr>
            </w:pPr>
            <w:r>
              <w:rPr>
                <w:rFonts w:cs="Calibri" w:ascii="Cambria" w:hAnsi="Cambria" w:asciiTheme="majorHAnsi" w:cstheme="minorHAnsi" w:hAnsiTheme="majorHAnsi"/>
                <w:b/>
                <w:spacing w:val="-6"/>
                <w:sz w:val="18"/>
                <w:szCs w:val="18"/>
                <w:lang w:val="fr-FR" w:eastAsia="en-GB"/>
              </w:rPr>
              <w:t xml:space="preserve">EMC DMX-3 to DMX-4 Migration             </w:t>
            </w:r>
          </w:p>
          <w:p>
            <w:pPr>
              <w:pStyle w:val="Normal"/>
              <w:spacing w:lineRule="auto" w:line="276" w:before="0" w:after="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Technology: </w:t>
            </w:r>
            <w:r>
              <w:rPr>
                <w:rFonts w:cs="Calibri" w:ascii="Cambria" w:hAnsi="Cambria" w:asciiTheme="majorHAnsi" w:cstheme="minorHAnsi" w:hAnsiTheme="majorHAnsi"/>
                <w:bCs/>
                <w:spacing w:val="-6"/>
                <w:sz w:val="18"/>
                <w:szCs w:val="18"/>
                <w:lang w:eastAsia="en-GB"/>
              </w:rPr>
              <w:t>Veritas Volume Manager, Veritas Cluster, EMC SAN Boxes</w:t>
            </w:r>
            <w:r>
              <w:rPr>
                <w:rFonts w:cs="Calibri" w:ascii="Cambria" w:hAnsi="Cambria" w:asciiTheme="majorHAnsi" w:cstheme="minorHAnsi" w:hAnsiTheme="majorHAnsi"/>
                <w:b/>
                <w:spacing w:val="-6"/>
                <w:sz w:val="18"/>
                <w:szCs w:val="18"/>
                <w:lang w:eastAsia="en-GB"/>
              </w:rPr>
              <w:t xml:space="preserve">                                                                                                                                                                                   </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cstheme="minorHAnsi" w:ascii="Cambria" w:hAnsi="Cambria"/>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Azure Migration of Infrastructure Devices</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Technology:</w:t>
            </w:r>
            <w:r>
              <w:rPr>
                <w:rFonts w:cs="Calibri" w:ascii="Cambria" w:hAnsi="Cambria" w:asciiTheme="majorHAnsi" w:cstheme="minorHAnsi" w:hAnsiTheme="majorHAnsi"/>
                <w:sz w:val="18"/>
                <w:szCs w:val="18"/>
                <w:lang w:val="en-GB" w:eastAsia="en-GB"/>
              </w:rPr>
              <w:t xml:space="preserve"> Azure Migrate, Azure DNS and Network Watcher, Azure AD Connect, AKS</w:t>
            </w:r>
          </w:p>
          <w:p>
            <w:pPr>
              <w:pStyle w:val="ListParagraph"/>
              <w:spacing w:lineRule="auto" w:line="276" w:before="0" w:after="200"/>
              <w:ind w:left="212" w:hanging="0"/>
              <w:contextualSpacing/>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eastAsia="en-GB"/>
              </w:rPr>
              <w:t>Azure migrations by discovering and assessing on</w:t>
              <w:noBreakHyphen/>
              <w:t>prem systems, then moving servers, apps, and data using Azure Migrate, DMS, and hybrid identity/networking tools to ensure a smooth and secure transition to the cloud.</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Program: Exchange / O365 Migration</w:t>
            </w:r>
          </w:p>
          <w:p>
            <w:pPr>
              <w:pStyle w:val="Normal"/>
              <w:spacing w:lineRule="auto" w:line="276" w:before="0" w:after="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b/>
                <w:bCs/>
                <w:sz w:val="18"/>
                <w:szCs w:val="18"/>
                <w:lang w:val="en-GB" w:eastAsia="en-GB"/>
              </w:rPr>
              <w:t>Technology:</w:t>
            </w:r>
            <w:r>
              <w:rPr>
                <w:rFonts w:cs="Calibri" w:ascii="Cambria" w:hAnsi="Cambria" w:asciiTheme="majorHAnsi" w:cstheme="minorHAnsi" w:hAnsiTheme="majorHAnsi"/>
                <w:sz w:val="18"/>
                <w:szCs w:val="18"/>
                <w:lang w:val="en-GB" w:eastAsia="en-GB"/>
              </w:rPr>
              <w:t xml:space="preserve"> M365 Readiness Tool, Azure AD Connect, HCW, PowerShell, MigrationWiz, PF Migration</w:t>
            </w:r>
          </w:p>
          <w:p>
            <w:pPr>
              <w:pStyle w:val="Normal"/>
              <w:spacing w:lineRule="auto" w:line="276" w:before="0" w:after="0"/>
              <w:ind w:left="212" w:hanging="0"/>
              <w:jc w:val="both"/>
              <w:rPr>
                <w:rFonts w:ascii="Cambria" w:hAnsi="Cambria" w:cs="Calibri" w:asciiTheme="majorHAnsi" w:cstheme="minorHAnsi" w:hAnsiTheme="majorHAnsi"/>
                <w:sz w:val="18"/>
                <w:szCs w:val="18"/>
                <w:lang w:eastAsia="en-GB"/>
              </w:rPr>
            </w:pPr>
            <w:r>
              <w:rPr>
                <w:rFonts w:cs="Calibri" w:ascii="Cambria" w:hAnsi="Cambria" w:asciiTheme="majorHAnsi" w:cstheme="minorHAnsi" w:hAnsiTheme="majorHAnsi"/>
                <w:sz w:val="18"/>
                <w:szCs w:val="18"/>
                <w:lang w:eastAsia="en-GB"/>
              </w:rPr>
              <w:t>Delivered end</w:t>
              <w:noBreakHyphen/>
              <w:t>to</w:t>
              <w:noBreakHyphen/>
              <w:t>end Exchange to Microsoft 365 migrations by preparing identity and hybrid connectivity, moving mailboxes and public folders using HCW, Azure AD Connect, and migration batches, and optimizing security, mail flow, and compliance for a seamless transition to Exchange Online</w:t>
            </w:r>
          </w:p>
          <w:p>
            <w:pPr>
              <w:pStyle w:val="Normal"/>
              <w:spacing w:lineRule="auto" w:line="276" w:before="0" w:after="0"/>
              <w:jc w:val="both"/>
              <w:rPr>
                <w:rFonts w:ascii="Cambria" w:hAnsi="Cambria" w:cs="Calibri" w:asciiTheme="majorHAnsi" w:cstheme="minorHAnsi" w:hAnsiTheme="majorHAnsi"/>
                <w:sz w:val="18"/>
                <w:szCs w:val="18"/>
                <w:lang w:eastAsia="en-GB"/>
              </w:rPr>
            </w:pPr>
            <w:r>
              <w:rPr>
                <w:rFonts w:cs="Calibri" w:cstheme="minorHAnsi" w:ascii="Cambria" w:hAnsi="Cambria"/>
                <w:sz w:val="18"/>
                <w:szCs w:val="18"/>
                <w:lang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Customer Onboarding</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Technology: Jira, ConnectWise, IT Glue, Veeam, Datto, Defender Excel, SharePoint, KnowBe4, Adlumin</w:t>
            </w:r>
          </w:p>
          <w:p>
            <w:pPr>
              <w:pStyle w:val="Normal"/>
              <w:spacing w:lineRule="auto" w:line="276" w:before="0" w:after="0"/>
              <w:ind w:left="354" w:hanging="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val="en-GB" w:eastAsia="en-GB"/>
              </w:rPr>
              <w:t>Project Planning, Timeline and Resource alignment, Coordination between client, project team and management, Migration of servers, network devices, configuration, mailboxes to in-house DC or Azure Cloud</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cstheme="minorHAnsi" w:ascii="Cambria" w:hAnsi="Cambria"/>
                <w:b/>
                <w:bCs/>
                <w:sz w:val="18"/>
                <w:szCs w:val="18"/>
                <w:lang w:val="en-GB" w:eastAsia="en-GB"/>
              </w:rPr>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Program: Network Upgrade/ Network Migration/ Network Installation</w:t>
            </w:r>
          </w:p>
          <w:p>
            <w:pPr>
              <w:pStyle w:val="Normal"/>
              <w:spacing w:lineRule="auto" w:line="276" w:before="0" w:after="0"/>
              <w:jc w:val="both"/>
              <w:rPr>
                <w:rFonts w:ascii="Cambria" w:hAnsi="Cambria" w:cs="Calibri" w:asciiTheme="majorHAnsi" w:cstheme="minorHAnsi" w:hAnsiTheme="majorHAnsi"/>
                <w:b/>
                <w:b/>
                <w:bCs/>
                <w:sz w:val="18"/>
                <w:szCs w:val="18"/>
                <w:lang w:val="en-GB" w:eastAsia="en-GB"/>
              </w:rPr>
            </w:pPr>
            <w:r>
              <w:rPr>
                <w:rFonts w:cs="Calibri" w:ascii="Cambria" w:hAnsi="Cambria" w:asciiTheme="majorHAnsi" w:cstheme="minorHAnsi" w:hAnsiTheme="majorHAnsi"/>
                <w:b/>
                <w:bCs/>
                <w:sz w:val="18"/>
                <w:szCs w:val="18"/>
                <w:lang w:val="en-GB" w:eastAsia="en-GB"/>
              </w:rPr>
              <w:t>Technology: Auvik, FortiManager, Meraki, Cisco CLI, Cisco Prime, Aruba, pfSense, WireShark, Visio, Confluence</w:t>
            </w:r>
          </w:p>
          <w:p>
            <w:pPr>
              <w:pStyle w:val="Normal"/>
              <w:spacing w:lineRule="auto" w:line="276" w:before="0" w:after="0"/>
              <w:ind w:left="496" w:hanging="0"/>
              <w:jc w:val="both"/>
              <w:rPr>
                <w:rFonts w:ascii="Cambria" w:hAnsi="Cambria" w:cs="Calibri" w:asciiTheme="majorHAnsi" w:cstheme="minorHAnsi" w:hAnsiTheme="majorHAnsi"/>
                <w:sz w:val="18"/>
                <w:szCs w:val="18"/>
                <w:lang w:val="en-GB" w:eastAsia="en-GB"/>
              </w:rPr>
            </w:pPr>
            <w:r>
              <w:rPr>
                <w:rFonts w:cs="Calibri" w:ascii="Cambria" w:hAnsi="Cambria" w:asciiTheme="majorHAnsi" w:cstheme="minorHAnsi" w:hAnsiTheme="majorHAnsi"/>
                <w:sz w:val="18"/>
                <w:szCs w:val="18"/>
                <w:lang w:eastAsia="en-GB"/>
              </w:rPr>
              <w:t>Delivered end</w:t>
              <w:noBreakHyphen/>
              <w:t>to</w:t>
              <w:noBreakHyphen/>
              <w:t>end network installations, upgrades, and migrations by auditing existing infrastructure, deploying and configuring switches, routers, firewalls, and wireless systems, and using tools like Cisco CLI, FortiGate, SolarWinds, and Wireshark to ensure secure, optimised, and reliable network performance.</w:t>
            </w:r>
          </w:p>
          <w:p>
            <w:pPr>
              <w:pStyle w:val="Normal"/>
              <w:spacing w:lineRule="auto" w:line="276" w:before="0" w:after="0"/>
              <w:jc w:val="both"/>
              <w:rPr>
                <w:rFonts w:ascii="Cambria" w:hAnsi="Cambria" w:cs="Tahoma"/>
                <w:b/>
                <w:b/>
                <w:color w:val="FFFFFF" w:themeColor="background1"/>
                <w:sz w:val="14"/>
                <w:lang w:val="en-GB"/>
              </w:rPr>
            </w:pPr>
            <w:r>
              <w:rPr>
                <w:rFonts w:cs="Tahoma" w:ascii="Cambria" w:hAnsi="Cambria"/>
                <w:b/>
                <w:color w:val="FFFFFF" w:themeColor="background1"/>
                <w:sz w:val="14"/>
                <w:lang w:val="en-GB"/>
              </w:rPr>
            </w:r>
          </w:p>
        </w:tc>
      </w:tr>
      <w:tr>
        <w:trPr>
          <w:trHeight w:val="1323" w:hRule="atLeast"/>
        </w:trPr>
        <w:tc>
          <w:tcPr>
            <w:tcW w:w="11378" w:type="dxa"/>
            <w:gridSpan w:val="3"/>
            <w:tcBorders/>
            <w:shd w:color="auto" w:fill="FFFFFF" w:themeFill="background1" w:val="clear"/>
          </w:tcPr>
          <w:p>
            <w:pPr>
              <w:pStyle w:val="Normal"/>
              <w:shd w:val="clear" w:color="auto" w:fill="D9D9D9" w:themeFill="background1" w:themeFillShade="d9"/>
              <w:spacing w:lineRule="auto" w:line="240" w:before="0" w:after="0"/>
              <w:rPr>
                <w:rFonts w:ascii="Georgia" w:hAnsi="Georgia" w:cs="Calibri" w:cstheme="minorHAnsi"/>
                <w:b/>
                <w:b/>
                <w:bCs/>
                <w:color w:val="000000" w:themeColor="text1"/>
                <w:sz w:val="20"/>
                <w:szCs w:val="18"/>
                <w:lang w:val="en-GB"/>
              </w:rPr>
            </w:pPr>
            <w:r>
              <w:rPr>
                <w:rFonts w:cs="Calibri" w:ascii="Georgia" w:hAnsi="Georgia" w:cstheme="minorHAnsi"/>
                <w:b/>
                <w:bCs/>
                <w:color w:val="000000" w:themeColor="text1"/>
                <w:sz w:val="20"/>
                <w:szCs w:val="18"/>
                <w:lang w:val="en-GB"/>
              </w:rPr>
              <w:t>IT Infrastructure, Virtualization &amp; Cloud Engineering (Sept 2006 – May 2022)</w:t>
            </w:r>
          </w:p>
          <w:p>
            <w:pPr>
              <w:pStyle w:val="Normal"/>
              <w:shd w:val="clear" w:color="auto" w:fill="D9D9D9" w:themeFill="background1" w:themeFillShade="d9"/>
              <w:spacing w:lineRule="auto" w:line="240" w:before="0" w:after="0"/>
              <w:rPr>
                <w:rFonts w:ascii="Georgia" w:hAnsi="Georgia" w:cs="Calibri" w:cstheme="minorHAnsi"/>
                <w:b/>
                <w:b/>
                <w:bCs/>
                <w:color w:val="000000" w:themeColor="text1"/>
                <w:sz w:val="20"/>
                <w:szCs w:val="18"/>
                <w:lang w:val="en-GB"/>
              </w:rPr>
            </w:pPr>
            <w:r>
              <w:rPr>
                <w:rFonts w:cs="Calibri" w:cstheme="minorHAnsi" w:ascii="Georgia" w:hAnsi="Georgia"/>
                <w:b/>
                <w:bCs/>
                <w:color w:val="000000" w:themeColor="text1"/>
                <w:sz w:val="20"/>
                <w:szCs w:val="18"/>
                <w:lang w:val="en-GB"/>
              </w:rPr>
            </w:r>
          </w:p>
          <w:p>
            <w:pPr>
              <w:pStyle w:val="Normal"/>
              <w:shd w:val="clear" w:color="auto" w:fill="D9D9D9" w:themeFill="background1" w:themeFillShade="d9"/>
              <w:spacing w:lineRule="auto" w:line="240" w:before="0" w:after="0"/>
              <w:rPr>
                <w:rFonts w:ascii="Georgia" w:hAnsi="Georgia" w:cs="Calibri" w:cstheme="minorHAnsi"/>
                <w:b/>
                <w:b/>
                <w:color w:val="000000" w:themeColor="text1"/>
                <w:sz w:val="20"/>
                <w:szCs w:val="18"/>
                <w:lang w:val="en-GB"/>
              </w:rPr>
            </w:pPr>
            <w:r>
              <w:rPr>
                <w:rFonts w:cs="Calibri" w:ascii="Georgia" w:hAnsi="Georgia" w:cstheme="minorHAnsi"/>
                <w:b/>
                <w:bCs/>
                <w:color w:val="000000" w:themeColor="text1"/>
                <w:sz w:val="20"/>
                <w:szCs w:val="18"/>
                <w:lang w:val="en-GB"/>
              </w:rPr>
              <w:t>Convergys • NaviSite India • HCL Technologies • IBM India • Fareportal India • Dhani Stocks (Indiabulls Group)</w:t>
            </w:r>
          </w:p>
          <w:p>
            <w:pPr>
              <w:pStyle w:val="Normal"/>
              <w:spacing w:lineRule="auto" w:line="240" w:before="0" w:after="0"/>
              <w:rPr>
                <w:rFonts w:ascii="Cambria" w:hAnsi="Cambria" w:cs="Calibri" w:asciiTheme="majorHAnsi" w:cstheme="minorHAnsi" w:hAnsiTheme="majorHAnsi"/>
                <w:spacing w:val="-6"/>
                <w:sz w:val="18"/>
                <w:szCs w:val="18"/>
                <w:lang w:val="en-GB" w:eastAsia="en-GB"/>
              </w:rPr>
            </w:pPr>
            <w:r>
              <w:rPr>
                <w:rFonts w:cs="Calibri" w:cstheme="minorHAnsi" w:ascii="Cambria" w:hAnsi="Cambria"/>
                <w:spacing w:val="-6"/>
                <w:sz w:val="18"/>
                <w:szCs w:val="18"/>
                <w:lang w:val="en-GB" w:eastAsia="en-GB"/>
              </w:rPr>
            </w:r>
          </w:p>
          <w:p>
            <w:pPr>
              <w:pStyle w:val="ListParagraph"/>
              <w:numPr>
                <w:ilvl w:val="0"/>
                <w:numId w:val="4"/>
              </w:numPr>
              <w:spacing w:lineRule="auto" w:line="240" w:before="0" w:after="0"/>
              <w:contextualSpacing/>
              <w:jc w:val="both"/>
              <w:rPr>
                <w:rFonts w:ascii="Cambria" w:hAnsi="Cambria" w:cs="Calibri" w:asciiTheme="majorHAnsi" w:cstheme="minorHAnsi" w:hAnsiTheme="majorHAnsi"/>
                <w:bCs/>
                <w:spacing w:val="-6"/>
                <w:sz w:val="18"/>
                <w:szCs w:val="18"/>
                <w:lang w:val="en-GB" w:eastAsia="en-GB"/>
              </w:rPr>
            </w:pPr>
            <w:r>
              <w:rPr>
                <w:rFonts w:cs="Calibri" w:ascii="Cambria" w:hAnsi="Cambria" w:asciiTheme="majorHAnsi" w:cstheme="minorHAnsi" w:hAnsiTheme="majorHAnsi"/>
                <w:bCs/>
                <w:spacing w:val="-6"/>
                <w:sz w:val="18"/>
                <w:szCs w:val="18"/>
                <w:lang w:val="en-GB" w:eastAsia="en-GB"/>
              </w:rPr>
              <w:t>Managed enterprise</w:t>
              <w:noBreakHyphen/>
              <w:t xml:space="preserve">scale </w:t>
            </w:r>
            <w:r>
              <w:rPr>
                <w:rFonts w:cs="Calibri" w:ascii="Cambria" w:hAnsi="Cambria" w:asciiTheme="majorHAnsi" w:cstheme="minorHAnsi" w:hAnsiTheme="majorHAnsi"/>
                <w:b/>
                <w:spacing w:val="-6"/>
                <w:sz w:val="18"/>
                <w:szCs w:val="18"/>
                <w:lang w:val="en-GB" w:eastAsia="en-GB"/>
              </w:rPr>
              <w:t>VMware ESXi/VCMS, Hyper</w:t>
              <w:noBreakHyphen/>
              <w:t>V, Citrix XenServer, and Oracle VM environments</w:t>
            </w:r>
            <w:r>
              <w:rPr>
                <w:rFonts w:cs="Calibri" w:ascii="Cambria" w:hAnsi="Cambria" w:asciiTheme="majorHAnsi" w:cstheme="minorHAnsi" w:hAnsiTheme="majorHAnsi"/>
                <w:bCs/>
                <w:spacing w:val="-6"/>
                <w:sz w:val="18"/>
                <w:szCs w:val="18"/>
                <w:lang w:val="en-GB" w:eastAsia="en-GB"/>
              </w:rPr>
              <w:t>, delivering end</w:t>
              <w:noBreakHyphen/>
              <w:t>to</w:t>
              <w:noBreakHyphen/>
              <w:t xml:space="preserve">end virtualization operations, cluster administration, performance optimization, and </w:t>
            </w:r>
            <w:r>
              <w:rPr>
                <w:rFonts w:cs="Calibri" w:ascii="Cambria" w:hAnsi="Cambria" w:asciiTheme="majorHAnsi" w:cstheme="minorHAnsi" w:hAnsiTheme="majorHAnsi"/>
                <w:b/>
                <w:spacing w:val="-6"/>
                <w:sz w:val="18"/>
                <w:szCs w:val="18"/>
                <w:lang w:val="en-GB" w:eastAsia="en-GB"/>
              </w:rPr>
              <w:t>VMware migration to GCVE/Google Cloud.</w:t>
            </w:r>
          </w:p>
          <w:p>
            <w:pPr>
              <w:pStyle w:val="ListParagraph"/>
              <w:numPr>
                <w:ilvl w:val="0"/>
                <w:numId w:val="4"/>
              </w:numPr>
              <w:spacing w:lineRule="auto" w:line="240" w:before="0" w:after="0"/>
              <w:contextualSpacing/>
              <w:jc w:val="both"/>
              <w:rPr>
                <w:rFonts w:ascii="Cambria" w:hAnsi="Cambria" w:cs="Calibri" w:asciiTheme="majorHAnsi" w:cstheme="minorHAnsi" w:hAnsiTheme="majorHAnsi"/>
                <w:bCs/>
                <w:spacing w:val="-6"/>
                <w:sz w:val="18"/>
                <w:szCs w:val="18"/>
                <w:lang w:val="en-GB" w:eastAsia="en-GB"/>
              </w:rPr>
            </w:pPr>
            <w:r>
              <w:rPr>
                <w:rFonts w:cs="Calibri" w:ascii="Cambria" w:hAnsi="Cambria" w:asciiTheme="majorHAnsi" w:cstheme="minorHAnsi" w:hAnsiTheme="majorHAnsi"/>
                <w:bCs/>
                <w:spacing w:val="-6"/>
                <w:sz w:val="18"/>
                <w:szCs w:val="18"/>
                <w:lang w:val="en-GB" w:eastAsia="en-GB"/>
              </w:rPr>
              <w:t>Administered hybrid and multi</w:t>
              <w:noBreakHyphen/>
              <w:t xml:space="preserve">cloud platforms across </w:t>
            </w:r>
            <w:r>
              <w:rPr>
                <w:rFonts w:cs="Calibri" w:ascii="Cambria" w:hAnsi="Cambria" w:asciiTheme="majorHAnsi" w:cstheme="minorHAnsi" w:hAnsiTheme="majorHAnsi"/>
                <w:b/>
                <w:spacing w:val="-6"/>
                <w:sz w:val="18"/>
                <w:szCs w:val="18"/>
                <w:lang w:val="en-GB" w:eastAsia="en-GB"/>
              </w:rPr>
              <w:t>GCP, AWS, and Azure</w:t>
            </w:r>
            <w:r>
              <w:rPr>
                <w:rFonts w:cs="Calibri" w:ascii="Cambria" w:hAnsi="Cambria" w:asciiTheme="majorHAnsi" w:cstheme="minorHAnsi" w:hAnsiTheme="majorHAnsi"/>
                <w:bCs/>
                <w:spacing w:val="-6"/>
                <w:sz w:val="18"/>
                <w:szCs w:val="18"/>
                <w:lang w:val="en-GB" w:eastAsia="en-GB"/>
              </w:rPr>
              <w:t>, including VM provisioning, storage/network configuration, monitoring, and cloud</w:t>
              <w:noBreakHyphen/>
              <w:t>integrated datacenter operations.</w:t>
            </w:r>
          </w:p>
          <w:p>
            <w:pPr>
              <w:pStyle w:val="ListParagraph"/>
              <w:numPr>
                <w:ilvl w:val="0"/>
                <w:numId w:val="4"/>
              </w:numPr>
              <w:spacing w:lineRule="auto" w:line="240" w:before="0" w:after="0"/>
              <w:contextualSpacing/>
              <w:jc w:val="both"/>
              <w:rPr>
                <w:rFonts w:ascii="Cambria" w:hAnsi="Cambria" w:cs="Calibri" w:asciiTheme="majorHAnsi" w:cstheme="minorHAnsi" w:hAnsiTheme="majorHAnsi"/>
                <w:b/>
                <w:b/>
                <w:spacing w:val="-6"/>
                <w:sz w:val="18"/>
                <w:szCs w:val="18"/>
                <w:lang w:val="en-GB" w:eastAsia="en-GB"/>
              </w:rPr>
            </w:pPr>
            <w:r>
              <w:rPr>
                <w:rFonts w:cs="Calibri" w:ascii="Cambria" w:hAnsi="Cambria" w:asciiTheme="majorHAnsi" w:cstheme="minorHAnsi" w:hAnsiTheme="majorHAnsi"/>
                <w:bCs/>
                <w:spacing w:val="-6"/>
                <w:sz w:val="18"/>
                <w:szCs w:val="18"/>
                <w:lang w:val="en-GB" w:eastAsia="en-GB"/>
              </w:rPr>
              <w:t xml:space="preserve">Oversaw server and storage infrastructure across </w:t>
            </w:r>
            <w:r>
              <w:rPr>
                <w:rFonts w:cs="Calibri" w:ascii="Cambria" w:hAnsi="Cambria" w:asciiTheme="majorHAnsi" w:cstheme="minorHAnsi" w:hAnsiTheme="majorHAnsi"/>
                <w:b/>
                <w:spacing w:val="-6"/>
                <w:sz w:val="18"/>
                <w:szCs w:val="18"/>
                <w:lang w:val="en-GB" w:eastAsia="en-GB"/>
              </w:rPr>
              <w:t>Cisco UCS, HPE Enclosures/Synergy, Dell EMC, Hitachi, Dell EqualLogic, HP 3PAR, and Dell Compellent,</w:t>
            </w:r>
            <w:r>
              <w:rPr>
                <w:rFonts w:cs="Calibri" w:ascii="Cambria" w:hAnsi="Cambria" w:asciiTheme="majorHAnsi" w:cstheme="minorHAnsi" w:hAnsiTheme="majorHAnsi"/>
                <w:bCs/>
                <w:spacing w:val="-6"/>
                <w:sz w:val="18"/>
                <w:szCs w:val="18"/>
                <w:lang w:val="en-GB" w:eastAsia="en-GB"/>
              </w:rPr>
              <w:t xml:space="preserve"> including firmware upgrades, hardware lifecycle, and enclosure management via </w:t>
            </w:r>
            <w:r>
              <w:rPr>
                <w:rFonts w:cs="Calibri" w:ascii="Cambria" w:hAnsi="Cambria" w:asciiTheme="majorHAnsi" w:cstheme="minorHAnsi" w:hAnsiTheme="majorHAnsi"/>
                <w:b/>
                <w:spacing w:val="-6"/>
                <w:sz w:val="18"/>
                <w:szCs w:val="18"/>
                <w:lang w:val="en-GB" w:eastAsia="en-GB"/>
              </w:rPr>
              <w:t>HPE OneView, OA, and Virtual Connect.</w:t>
            </w:r>
          </w:p>
          <w:p>
            <w:pPr>
              <w:pStyle w:val="ListParagraph"/>
              <w:numPr>
                <w:ilvl w:val="0"/>
                <w:numId w:val="4"/>
              </w:numPr>
              <w:spacing w:lineRule="auto" w:line="240" w:before="0" w:after="0"/>
              <w:contextualSpacing/>
              <w:jc w:val="both"/>
              <w:rPr>
                <w:rFonts w:ascii="Cambria" w:hAnsi="Cambria" w:cs="Calibri" w:asciiTheme="majorHAnsi" w:cstheme="minorHAnsi" w:hAnsiTheme="majorHAnsi"/>
                <w:bCs/>
                <w:spacing w:val="-6"/>
                <w:sz w:val="18"/>
                <w:szCs w:val="18"/>
                <w:lang w:val="en-GB" w:eastAsia="en-GB"/>
              </w:rPr>
            </w:pPr>
            <w:r>
              <w:rPr>
                <w:rFonts w:cs="Calibri" w:ascii="Cambria" w:hAnsi="Cambria" w:asciiTheme="majorHAnsi" w:cstheme="minorHAnsi" w:hAnsiTheme="majorHAnsi"/>
                <w:bCs/>
                <w:spacing w:val="-6"/>
                <w:sz w:val="18"/>
                <w:szCs w:val="18"/>
                <w:lang w:val="en-GB" w:eastAsia="en-GB"/>
              </w:rPr>
              <w:t xml:space="preserve">Delivered enterprise backup, recovery, and storage operations using </w:t>
            </w:r>
            <w:r>
              <w:rPr>
                <w:rFonts w:cs="Calibri" w:ascii="Cambria" w:hAnsi="Cambria" w:asciiTheme="majorHAnsi" w:cstheme="minorHAnsi" w:hAnsiTheme="majorHAnsi"/>
                <w:b/>
                <w:spacing w:val="-6"/>
                <w:sz w:val="18"/>
                <w:szCs w:val="18"/>
                <w:lang w:val="en-GB" w:eastAsia="en-GB"/>
              </w:rPr>
              <w:t>CommVault Simpana, Symantec Backup Exec, Evault Cloud Backup</w:t>
            </w:r>
            <w:r>
              <w:rPr>
                <w:rFonts w:cs="Calibri" w:ascii="Cambria" w:hAnsi="Cambria" w:asciiTheme="majorHAnsi" w:cstheme="minorHAnsi" w:hAnsiTheme="majorHAnsi"/>
                <w:bCs/>
                <w:spacing w:val="-6"/>
                <w:sz w:val="18"/>
                <w:szCs w:val="18"/>
                <w:lang w:val="en-GB" w:eastAsia="en-GB"/>
              </w:rPr>
              <w:t>, and multi</w:t>
              <w:noBreakHyphen/>
              <w:t xml:space="preserve">vendor SAN/NAS provisioning, aligned with </w:t>
            </w:r>
            <w:r>
              <w:rPr>
                <w:rFonts w:cs="Calibri" w:ascii="Cambria" w:hAnsi="Cambria" w:asciiTheme="majorHAnsi" w:cstheme="minorHAnsi" w:hAnsiTheme="majorHAnsi"/>
                <w:b/>
                <w:spacing w:val="-6"/>
                <w:sz w:val="18"/>
                <w:szCs w:val="18"/>
                <w:lang w:val="en-GB" w:eastAsia="en-GB"/>
              </w:rPr>
              <w:t>ITIL incident, problem, and change management.</w:t>
            </w:r>
          </w:p>
          <w:p>
            <w:pPr>
              <w:pStyle w:val="ListParagraph"/>
              <w:numPr>
                <w:ilvl w:val="0"/>
                <w:numId w:val="4"/>
              </w:numPr>
              <w:spacing w:lineRule="auto" w:line="240" w:before="0" w:after="0"/>
              <w:contextualSpacing/>
              <w:jc w:val="both"/>
              <w:rPr>
                <w:rFonts w:ascii="Cambria" w:hAnsi="Cambria" w:cs="Calibri" w:asciiTheme="majorHAnsi" w:cstheme="minorHAnsi" w:hAnsiTheme="majorHAnsi"/>
                <w:bCs/>
                <w:spacing w:val="-6"/>
                <w:sz w:val="18"/>
                <w:szCs w:val="18"/>
                <w:lang w:val="en-GB" w:eastAsia="en-GB"/>
              </w:rPr>
            </w:pPr>
            <w:r>
              <w:rPr>
                <w:rFonts w:cs="Calibri" w:ascii="Cambria" w:hAnsi="Cambria" w:asciiTheme="majorHAnsi" w:cstheme="minorHAnsi" w:hAnsiTheme="majorHAnsi"/>
                <w:bCs/>
                <w:spacing w:val="-6"/>
                <w:sz w:val="18"/>
                <w:szCs w:val="18"/>
                <w:lang w:val="en-GB" w:eastAsia="en-GB"/>
              </w:rPr>
              <w:t xml:space="preserve">Supported global production environments with server builds/decommissions, critical incident resolution, vendor coordination, and daily operations using </w:t>
            </w:r>
            <w:r>
              <w:rPr>
                <w:rFonts w:cs="Calibri" w:ascii="Cambria" w:hAnsi="Cambria" w:asciiTheme="majorHAnsi" w:cstheme="minorHAnsi" w:hAnsiTheme="majorHAnsi"/>
                <w:b/>
                <w:spacing w:val="-6"/>
                <w:sz w:val="18"/>
                <w:szCs w:val="18"/>
                <w:lang w:val="en-GB" w:eastAsia="en-GB"/>
              </w:rPr>
              <w:t>ServiceNow, ManageEngine, JIRA, and Confluence</w:t>
            </w:r>
            <w:r>
              <w:rPr>
                <w:rFonts w:cs="Calibri" w:ascii="Cambria" w:hAnsi="Cambria" w:asciiTheme="majorHAnsi" w:cstheme="minorHAnsi" w:hAnsiTheme="majorHAnsi"/>
                <w:bCs/>
                <w:spacing w:val="-6"/>
                <w:sz w:val="18"/>
                <w:szCs w:val="18"/>
                <w:lang w:val="en-GB" w:eastAsia="en-GB"/>
              </w:rPr>
              <w:t>, ensuring high availability and SLA compliance.</w:t>
            </w:r>
          </w:p>
          <w:p>
            <w:pPr>
              <w:pStyle w:val="ListParagraph"/>
              <w:numPr>
                <w:ilvl w:val="0"/>
                <w:numId w:val="4"/>
              </w:numPr>
              <w:spacing w:lineRule="auto" w:line="240" w:before="0" w:after="0"/>
              <w:contextualSpacing/>
              <w:jc w:val="both"/>
              <w:rPr>
                <w:rFonts w:ascii="Cambria" w:hAnsi="Cambria" w:cs="Calibri" w:asciiTheme="majorHAnsi" w:cstheme="minorHAnsi" w:hAnsiTheme="majorHAnsi"/>
                <w:bCs/>
                <w:spacing w:val="-6"/>
                <w:sz w:val="18"/>
                <w:szCs w:val="18"/>
                <w:lang w:val="en-GB" w:eastAsia="en-GB"/>
              </w:rPr>
            </w:pPr>
            <w:r>
              <w:rPr>
                <w:rFonts w:cs="Calibri" w:ascii="Cambria" w:hAnsi="Cambria" w:asciiTheme="majorHAnsi" w:cstheme="minorHAnsi" w:hAnsiTheme="majorHAnsi"/>
                <w:bCs/>
                <w:spacing w:val="-6"/>
                <w:sz w:val="18"/>
                <w:szCs w:val="18"/>
                <w:lang w:val="en-GB" w:eastAsia="en-GB"/>
              </w:rPr>
              <w:t>Improved operational efficiency through structured documentation, dashboards, and technical reporting, while providing training and guidance to enhance system reliability and team productivity.</w:t>
            </w:r>
          </w:p>
          <w:p>
            <w:pPr>
              <w:pStyle w:val="Normal"/>
              <w:spacing w:lineRule="auto" w:line="240" w:before="0" w:after="0"/>
              <w:jc w:val="both"/>
              <w:rPr>
                <w:rFonts w:ascii="Cambria" w:hAnsi="Cambria" w:cs="Calibri" w:asciiTheme="majorHAnsi" w:cstheme="minorHAnsi" w:hAnsiTheme="majorHAnsi"/>
                <w:b/>
                <w:b/>
                <w:spacing w:val="-6"/>
                <w:sz w:val="18"/>
                <w:szCs w:val="18"/>
                <w:lang w:eastAsia="en-GB"/>
              </w:rPr>
            </w:pPr>
            <w:r>
              <w:rPr>
                <w:rFonts w:cs="Calibri" w:ascii="Cambria" w:hAnsi="Cambria" w:asciiTheme="majorHAnsi" w:cstheme="minorHAnsi" w:hAnsiTheme="majorHAnsi"/>
                <w:b/>
                <w:spacing w:val="-6"/>
                <w:sz w:val="18"/>
                <w:szCs w:val="18"/>
                <w:lang w:eastAsia="en-GB"/>
              </w:rPr>
              <w:t xml:space="preserve">                                                                                                                                                                                                                                                  </w:t>
            </w:r>
          </w:p>
          <w:p>
            <w:pPr>
              <w:pStyle w:val="Normal"/>
              <w:spacing w:lineRule="auto" w:line="240" w:before="0" w:after="0"/>
              <w:jc w:val="both"/>
              <w:rPr>
                <w:rFonts w:ascii="Cambria" w:hAnsi="Cambria" w:cs="Calibri" w:asciiTheme="majorHAnsi" w:cstheme="minorHAnsi" w:hAnsiTheme="majorHAnsi"/>
                <w:b/>
                <w:b/>
                <w:spacing w:val="-6"/>
                <w:sz w:val="18"/>
                <w:szCs w:val="18"/>
                <w:lang w:eastAsia="en-GB"/>
              </w:rPr>
            </w:pPr>
            <w:r>
              <w:rPr>
                <w:rFonts w:cs="Calibri" w:cstheme="minorHAnsi" w:ascii="Cambria" w:hAnsi="Cambria"/>
                <w:b/>
                <w:spacing w:val="-6"/>
                <w:sz w:val="18"/>
                <w:szCs w:val="18"/>
                <w:lang w:eastAsia="en-GB"/>
              </w:rPr>
            </w:r>
          </w:p>
        </w:tc>
      </w:tr>
    </w:tbl>
    <w:p>
      <w:pPr>
        <w:pStyle w:val="Normal"/>
        <w:widowControl/>
        <w:bidi w:val="0"/>
        <w:spacing w:lineRule="auto" w:line="276" w:before="0" w:after="200"/>
        <w:jc w:val="left"/>
        <w:rPr/>
      </w:pPr>
      <w:r>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48"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450" w:right="479" w:header="0" w:top="270" w:footer="0" w:bottom="9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Tahoma">
    <w:charset w:val="01"/>
    <w:family w:val="roman"/>
    <w:pitch w:val="variable"/>
  </w:font>
  <w:font w:name="Arial">
    <w:charset w:val="01"/>
    <w:family w:val="roman"/>
    <w:pitch w:val="variable"/>
  </w:font>
  <w:font w:name="Courier New">
    <w:charset w:val="01"/>
    <w:family w:val="roman"/>
    <w:pitch w:val="variable"/>
  </w:font>
  <w:font w:name="Cambria">
    <w:charset w:val="01"/>
    <w:family w:val="roman"/>
    <w:pitch w:val="variable"/>
  </w:font>
  <w:font w:name="Georgi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 w:name="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4.55pt;height:4.55pt" o:bullet="t">
        <v:imagedata r:id="rId1" o:title=""/>
      </v:shape>
    </w:pict>
  </w:numPicBullet>
  <w:numPicBullet w:numPicBulletId="1">
    <w:pict>
      <v:shape style="width:7.1pt;height:7.1pt" o:bullet="t">
        <v:imagedata r:id="rId2" o:title=""/>
      </v:shape>
    </w:pict>
  </w:numPicBullet>
  <w:abstractNum w:abstractNumId="1">
    <w:lvl w:ilvl="0">
      <w:start w:val="1"/>
      <w:numFmt w:val="bullet"/>
      <w:lvlText w:val=""/>
      <w:lvlJc w:val="left"/>
      <w:pPr>
        <w:ind w:left="360" w:hanging="360"/>
      </w:pPr>
      <w:rPr>
        <w:rFonts w:ascii="Symbol" w:hAnsi="Symbol" w:cs="Symbol" w:hint="default"/>
        <w:sz w:val="18"/>
        <w:b/>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bullet"/>
      <w:lvlText w:val=""/>
      <w:lvlJc w:val="left"/>
      <w:pPr>
        <w:ind w:left="360" w:hanging="360"/>
      </w:pPr>
      <w:rPr>
        <w:rFonts w:ascii="Symbol" w:hAnsi="Symbol" w:cs="Symbol" w:hint="default"/>
        <w:sz w:val="18"/>
        <w:b w:val="false"/>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3">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4">
    <w:lvl w:ilvl="0">
      <w:start w:val="1"/>
      <w:numFmt w:val="bullet"/>
      <w:lvlText w:val="•"/>
      <w:lvlJc w:val="left"/>
      <w:pPr>
        <w:ind w:left="720" w:hanging="360"/>
      </w:pPr>
      <w:rPr>
        <w:rFonts w:ascii="Arial" w:hAnsi="Arial" w:cs="Arial" w:hint="default"/>
        <w:dstrike w:val="false"/>
        <w:strike w:val="false"/>
        <w:vertAlign w:val="baseline"/>
        <w:position w:val="0"/>
        <w:sz w:val="18"/>
        <w:sz w:val="18"/>
        <w:i w:val="false"/>
        <w:u w:val="none" w:color="000000"/>
        <w:b/>
        <w:szCs w:val="20"/>
        <w:rFonts w:cs="Arial"/>
        <w:color w:val="000000"/>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isplayBackgroundShape/>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40b4"/>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1"/>
    <w:qFormat/>
    <w:rsid w:val="00fa08ba"/>
    <w:pPr>
      <w:spacing w:lineRule="auto" w:line="240" w:before="31" w:after="0"/>
      <w:ind w:left="120" w:right="17" w:hanging="0"/>
      <w:jc w:val="center"/>
      <w:outlineLvl w:val="1"/>
    </w:pPr>
    <w:rPr>
      <w:rFonts w:ascii="Verdana" w:hAnsi="Verdana" w:eastAsia="Verdana" w:cs="Verdana"/>
      <w:b/>
      <w:bCs/>
      <w:sz w:val="24"/>
      <w:szCs w:val="24"/>
      <w:lang w:bidi="en-US"/>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f2767"/>
    <w:rPr>
      <w:rFonts w:ascii="Tahoma" w:hAnsi="Tahoma" w:cs="Tahoma"/>
      <w:sz w:val="16"/>
      <w:szCs w:val="16"/>
    </w:rPr>
  </w:style>
  <w:style w:type="character" w:styleId="InternetLink">
    <w:name w:val="Internet Link"/>
    <w:basedOn w:val="DefaultParagraphFont"/>
    <w:uiPriority w:val="99"/>
    <w:unhideWhenUsed/>
    <w:rsid w:val="00c74bda"/>
    <w:rPr>
      <w:color w:val="0000FF" w:themeColor="hyperlink"/>
      <w:u w:val="single"/>
    </w:rPr>
  </w:style>
  <w:style w:type="character" w:styleId="Rvts36" w:customStyle="1">
    <w:name w:val="rvts36"/>
    <w:qFormat/>
    <w:rsid w:val="00690a52"/>
    <w:rPr/>
  </w:style>
  <w:style w:type="character" w:styleId="ListParagraphChar" w:customStyle="1">
    <w:name w:val="List Paragraph Char"/>
    <w:link w:val="ListParagraph"/>
    <w:uiPriority w:val="34"/>
    <w:qFormat/>
    <w:rsid w:val="00fb3a64"/>
    <w:rPr/>
  </w:style>
  <w:style w:type="character" w:styleId="Annotationreference">
    <w:name w:val="annotation reference"/>
    <w:basedOn w:val="DefaultParagraphFont"/>
    <w:uiPriority w:val="99"/>
    <w:semiHidden/>
    <w:unhideWhenUsed/>
    <w:qFormat/>
    <w:rsid w:val="00080592"/>
    <w:rPr>
      <w:sz w:val="16"/>
      <w:szCs w:val="16"/>
    </w:rPr>
  </w:style>
  <w:style w:type="character" w:styleId="CommentTextChar" w:customStyle="1">
    <w:name w:val="Comment Text Char"/>
    <w:basedOn w:val="DefaultParagraphFont"/>
    <w:link w:val="CommentText"/>
    <w:uiPriority w:val="99"/>
    <w:qFormat/>
    <w:rsid w:val="00080592"/>
    <w:rPr>
      <w:sz w:val="20"/>
      <w:szCs w:val="20"/>
    </w:rPr>
  </w:style>
  <w:style w:type="character" w:styleId="CommentSubjectChar" w:customStyle="1">
    <w:name w:val="Comment Subject Char"/>
    <w:basedOn w:val="CommentTextChar"/>
    <w:link w:val="CommentSubject"/>
    <w:uiPriority w:val="99"/>
    <w:semiHidden/>
    <w:qFormat/>
    <w:rsid w:val="00080592"/>
    <w:rPr>
      <w:b/>
      <w:bCs/>
      <w:sz w:val="20"/>
      <w:szCs w:val="20"/>
    </w:rPr>
  </w:style>
  <w:style w:type="character" w:styleId="FooterChar" w:customStyle="1">
    <w:name w:val="Footer Char"/>
    <w:basedOn w:val="DefaultParagraphFont"/>
    <w:link w:val="Footer"/>
    <w:uiPriority w:val="99"/>
    <w:qFormat/>
    <w:rsid w:val="004957a8"/>
    <w:rPr/>
  </w:style>
  <w:style w:type="character" w:styleId="Rvts40" w:customStyle="1">
    <w:name w:val="rvts40"/>
    <w:basedOn w:val="DefaultParagraphFont"/>
    <w:qFormat/>
    <w:rsid w:val="008b742a"/>
    <w:rPr/>
  </w:style>
  <w:style w:type="character" w:styleId="Rvts42" w:customStyle="1">
    <w:name w:val="rvts42"/>
    <w:basedOn w:val="DefaultParagraphFont"/>
    <w:qFormat/>
    <w:rsid w:val="00f17038"/>
    <w:rPr/>
  </w:style>
  <w:style w:type="character" w:styleId="Rvts44" w:customStyle="1">
    <w:name w:val="rvts44"/>
    <w:basedOn w:val="DefaultParagraphFont"/>
    <w:qFormat/>
    <w:rsid w:val="00f17038"/>
    <w:rPr/>
  </w:style>
  <w:style w:type="character" w:styleId="Rvts155" w:customStyle="1">
    <w:name w:val="rvts155"/>
    <w:basedOn w:val="DefaultParagraphFont"/>
    <w:qFormat/>
    <w:rsid w:val="00f17038"/>
    <w:rPr/>
  </w:style>
  <w:style w:type="character" w:styleId="BodyTextIndentChar" w:customStyle="1">
    <w:name w:val="Body Text Indent Char"/>
    <w:basedOn w:val="DefaultParagraphFont"/>
    <w:link w:val="BodyTextIndent"/>
    <w:semiHidden/>
    <w:qFormat/>
    <w:rsid w:val="0027312b"/>
    <w:rPr>
      <w:rFonts w:ascii="Arial" w:hAnsi="Arial" w:eastAsia="Times New Roman" w:cs="Arial"/>
      <w:sz w:val="20"/>
      <w:szCs w:val="24"/>
    </w:rPr>
  </w:style>
  <w:style w:type="character" w:styleId="NoSpacingChar" w:customStyle="1">
    <w:name w:val="No Spacing Char"/>
    <w:link w:val="NoSpacing"/>
    <w:uiPriority w:val="1"/>
    <w:qFormat/>
    <w:rsid w:val="00b5190c"/>
    <w:rPr/>
  </w:style>
  <w:style w:type="character" w:styleId="PlainTextChar" w:customStyle="1">
    <w:name w:val="Plain Text Char"/>
    <w:basedOn w:val="DefaultParagraphFont"/>
    <w:link w:val="PlainText"/>
    <w:uiPriority w:val="99"/>
    <w:qFormat/>
    <w:rsid w:val="00306f47"/>
    <w:rPr>
      <w:rFonts w:ascii="Courier New" w:hAnsi="Courier New" w:eastAsia="Times New Roman" w:cs="Times New Roman"/>
      <w:sz w:val="20"/>
      <w:szCs w:val="20"/>
    </w:rPr>
  </w:style>
  <w:style w:type="character" w:styleId="Heading2Char" w:customStyle="1">
    <w:name w:val="Heading 2 Char"/>
    <w:basedOn w:val="DefaultParagraphFont"/>
    <w:link w:val="Heading2"/>
    <w:uiPriority w:val="1"/>
    <w:qFormat/>
    <w:rsid w:val="00fa08ba"/>
    <w:rPr>
      <w:rFonts w:ascii="Verdana" w:hAnsi="Verdana" w:eastAsia="Verdana" w:cs="Verdana"/>
      <w:b/>
      <w:bCs/>
      <w:sz w:val="24"/>
      <w:szCs w:val="24"/>
      <w:lang w:bidi="en-US"/>
    </w:rPr>
  </w:style>
  <w:style w:type="character" w:styleId="Rvts32" w:customStyle="1">
    <w:name w:val="rvts32"/>
    <w:basedOn w:val="DefaultParagraphFont"/>
    <w:qFormat/>
    <w:rsid w:val="00a80d5e"/>
    <w:rPr/>
  </w:style>
  <w:style w:type="character" w:styleId="Rvts87" w:customStyle="1">
    <w:name w:val="rvts87"/>
    <w:basedOn w:val="DefaultParagraphFont"/>
    <w:qFormat/>
    <w:rsid w:val="00af2858"/>
    <w:rPr/>
  </w:style>
  <w:style w:type="character" w:styleId="Rvts58" w:customStyle="1">
    <w:name w:val="rvts58"/>
    <w:qFormat/>
    <w:rsid w:val="00a3647a"/>
    <w:rPr/>
  </w:style>
  <w:style w:type="character" w:styleId="Appleconvertedspace" w:customStyle="1">
    <w:name w:val="apple-converted-space"/>
    <w:qFormat/>
    <w:rsid w:val="00a3647a"/>
    <w:rPr/>
  </w:style>
  <w:style w:type="character" w:styleId="Strong">
    <w:name w:val="Strong"/>
    <w:basedOn w:val="DefaultParagraphFont"/>
    <w:uiPriority w:val="22"/>
    <w:qFormat/>
    <w:rsid w:val="005c2dde"/>
    <w:rPr>
      <w:b/>
      <w:bCs/>
    </w:rPr>
  </w:style>
  <w:style w:type="character" w:styleId="Uiprovider" w:customStyle="1">
    <w:name w:val="ui-provider"/>
    <w:basedOn w:val="DefaultParagraphFont"/>
    <w:qFormat/>
    <w:rsid w:val="00b7065c"/>
    <w:rPr/>
  </w:style>
  <w:style w:type="character" w:styleId="UnresolvedMention" w:customStyle="1">
    <w:name w:val="Unresolved Mention"/>
    <w:basedOn w:val="DefaultParagraphFont"/>
    <w:uiPriority w:val="99"/>
    <w:semiHidden/>
    <w:unhideWhenUsed/>
    <w:qFormat/>
    <w:rsid w:val="00a64e0d"/>
    <w:rPr>
      <w:color w:val="605E5C"/>
      <w:shd w:fill="E1DFDD" w:val="clear"/>
    </w:rPr>
  </w:style>
  <w:style w:type="character" w:styleId="ListLabel1">
    <w:name w:val="ListLabel 1"/>
    <w:qFormat/>
    <w:rPr>
      <w:color w:val="auto"/>
      <w:sz w:val="18"/>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color w:val="auto"/>
      <w:sz w:val="18"/>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sz w:val="20"/>
      <w:szCs w:val="20"/>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color w:val="auto"/>
      <w:sz w:val="18"/>
      <w:szCs w:val="20"/>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color w:val="auto"/>
      <w:sz w:val="18"/>
      <w:szCs w:val="20"/>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sz w:val="18"/>
      <w:szCs w:val="20"/>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sz w:val="18"/>
      <w:szCs w:val="20"/>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color w:val="auto"/>
    </w:rPr>
  </w:style>
  <w:style w:type="character" w:styleId="ListLabel87">
    <w:name w:val="ListLabel 87"/>
    <w:qFormat/>
    <w:rPr>
      <w:rFonts w:cs="Courier New"/>
    </w:rPr>
  </w:style>
  <w:style w:type="character" w:styleId="ListLabel88">
    <w:name w:val="ListLabel 88"/>
    <w:qFormat/>
    <w:rPr>
      <w:rFonts w:cs="Courier New"/>
    </w:rPr>
  </w:style>
  <w:style w:type="character" w:styleId="ListLabel89">
    <w:name w:val="ListLabel 89"/>
    <w:qFormat/>
    <w:rPr>
      <w:rFonts w:cs="Courier New"/>
    </w:rPr>
  </w:style>
  <w:style w:type="character" w:styleId="ListLabel90">
    <w:name w:val="ListLabel 90"/>
    <w:qFormat/>
    <w:rPr>
      <w:color w:val="154960"/>
    </w:rPr>
  </w:style>
  <w:style w:type="character" w:styleId="ListLabel91">
    <w:name w:val="ListLabel 91"/>
    <w:qFormat/>
    <w:rPr>
      <w:rFonts w:cs="Courier New"/>
    </w:rPr>
  </w:style>
  <w:style w:type="character" w:styleId="ListLabel92">
    <w:name w:val="ListLabel 92"/>
    <w:qFormat/>
    <w:rPr>
      <w:rFonts w:cs="Courier New"/>
    </w:rPr>
  </w:style>
  <w:style w:type="character" w:styleId="ListLabel93">
    <w:name w:val="ListLabel 93"/>
    <w:qFormat/>
    <w:rPr>
      <w:rFonts w:cs="Courier New"/>
    </w:rPr>
  </w:style>
  <w:style w:type="character" w:styleId="ListLabel94">
    <w:name w:val="ListLabel 94"/>
    <w:qFormat/>
    <w:rPr>
      <w:color w:val="154960"/>
    </w:rPr>
  </w:style>
  <w:style w:type="character" w:styleId="ListLabel95">
    <w:name w:val="ListLabel 95"/>
    <w:qFormat/>
    <w:rPr>
      <w:rFonts w:ascii="Cambria" w:hAnsi="Cambria"/>
      <w:b/>
      <w:sz w:val="18"/>
    </w:rPr>
  </w:style>
  <w:style w:type="character" w:styleId="ListLabel96">
    <w:name w:val="ListLabel 96"/>
    <w:qFormat/>
    <w:rPr>
      <w:rFonts w:cs="Courier New"/>
    </w:rPr>
  </w:style>
  <w:style w:type="character" w:styleId="ListLabel97">
    <w:name w:val="ListLabel 97"/>
    <w:qFormat/>
    <w:rPr>
      <w:rFonts w:cs="Courier New"/>
    </w:rPr>
  </w:style>
  <w:style w:type="character" w:styleId="ListLabel98">
    <w:name w:val="ListLabel 98"/>
    <w:qFormat/>
    <w:rPr>
      <w:rFonts w:cs="Courier New"/>
    </w:rPr>
  </w:style>
  <w:style w:type="character" w:styleId="ListLabel99">
    <w:name w:val="ListLabel 99"/>
    <w:qFormat/>
    <w:rPr>
      <w:sz w:val="20"/>
    </w:rPr>
  </w:style>
  <w:style w:type="character" w:styleId="ListLabel100">
    <w:name w:val="ListLabel 100"/>
    <w:qFormat/>
    <w:rPr>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sz w:val="20"/>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rFonts w:ascii="Georgia" w:hAnsi="Georgia"/>
      <w:b w:val="false"/>
      <w:sz w:val="18"/>
    </w:rPr>
  </w:style>
  <w:style w:type="character" w:styleId="ListLabel118">
    <w:name w:val="ListLabel 118"/>
    <w:qFormat/>
    <w:rPr>
      <w:rFonts w:cs="Courier New"/>
    </w:rPr>
  </w:style>
  <w:style w:type="character" w:styleId="ListLabel119">
    <w:name w:val="ListLabel 119"/>
    <w:qFormat/>
    <w:rPr>
      <w:rFonts w:cs="Courier New"/>
    </w:rPr>
  </w:style>
  <w:style w:type="character" w:styleId="ListLabel120">
    <w:name w:val="ListLabel 120"/>
    <w:qFormat/>
    <w:rPr>
      <w:rFonts w:cs="Courier New"/>
    </w:rPr>
  </w:style>
  <w:style w:type="character" w:styleId="ListLabel121">
    <w:name w:val="ListLabel 121"/>
    <w:qFormat/>
    <w:rPr>
      <w:rFonts w:cs="Courier New"/>
    </w:rPr>
  </w:style>
  <w:style w:type="character" w:styleId="ListLabel122">
    <w:name w:val="ListLabel 122"/>
    <w:qFormat/>
    <w:rPr>
      <w:rFonts w:cs="Courier New"/>
    </w:rPr>
  </w:style>
  <w:style w:type="character" w:styleId="ListLabel123">
    <w:name w:val="ListLabel 123"/>
    <w:qFormat/>
    <w:rPr>
      <w:rFonts w:cs="Courier New"/>
    </w:rPr>
  </w:style>
  <w:style w:type="character" w:styleId="ListLabel124">
    <w:name w:val="ListLabel 124"/>
    <w:qFormat/>
    <w:rPr>
      <w:rFonts w:cs="Courier New"/>
    </w:rPr>
  </w:style>
  <w:style w:type="character" w:styleId="ListLabel125">
    <w:name w:val="ListLabel 125"/>
    <w:qFormat/>
    <w:rPr>
      <w:rFonts w:cs="Courier New"/>
    </w:rPr>
  </w:style>
  <w:style w:type="character" w:styleId="ListLabel126">
    <w:name w:val="ListLabel 126"/>
    <w:qFormat/>
    <w:rPr>
      <w:rFonts w:cs="Courier New"/>
    </w:rPr>
  </w:style>
  <w:style w:type="character" w:styleId="ListLabel127">
    <w:name w:val="ListLabel 127"/>
    <w:qFormat/>
    <w:rPr>
      <w:rFonts w:eastAsia="Arial" w:cs="Arial"/>
      <w:b w:val="false"/>
      <w:i w:val="false"/>
      <w:strike w:val="false"/>
      <w:dstrike w:val="false"/>
      <w:color w:val="000000"/>
      <w:position w:val="0"/>
      <w:sz w:val="20"/>
      <w:sz w:val="20"/>
      <w:szCs w:val="20"/>
      <w:u w:val="none" w:color="000000"/>
      <w:vertAlign w:val="baseline"/>
    </w:rPr>
  </w:style>
  <w:style w:type="character" w:styleId="ListLabel128">
    <w:name w:val="ListLabel 128"/>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29">
    <w:name w:val="ListLabel 129"/>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30">
    <w:name w:val="ListLabel 130"/>
    <w:qFormat/>
    <w:rPr>
      <w:rFonts w:eastAsia="Arial" w:cs="Arial"/>
      <w:b w:val="false"/>
      <w:i w:val="false"/>
      <w:strike w:val="false"/>
      <w:dstrike w:val="false"/>
      <w:color w:val="000000"/>
      <w:position w:val="0"/>
      <w:sz w:val="20"/>
      <w:sz w:val="20"/>
      <w:szCs w:val="20"/>
      <w:u w:val="none" w:color="000000"/>
      <w:vertAlign w:val="baseline"/>
    </w:rPr>
  </w:style>
  <w:style w:type="character" w:styleId="ListLabel131">
    <w:name w:val="ListLabel 131"/>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32">
    <w:name w:val="ListLabel 132"/>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33">
    <w:name w:val="ListLabel 133"/>
    <w:qFormat/>
    <w:rPr>
      <w:rFonts w:eastAsia="Arial" w:cs="Arial"/>
      <w:b w:val="false"/>
      <w:i w:val="false"/>
      <w:strike w:val="false"/>
      <w:dstrike w:val="false"/>
      <w:color w:val="000000"/>
      <w:position w:val="0"/>
      <w:sz w:val="20"/>
      <w:sz w:val="20"/>
      <w:szCs w:val="20"/>
      <w:u w:val="none" w:color="000000"/>
      <w:vertAlign w:val="baseline"/>
    </w:rPr>
  </w:style>
  <w:style w:type="character" w:styleId="ListLabel134">
    <w:name w:val="ListLabel 134"/>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35">
    <w:name w:val="ListLabel 135"/>
    <w:qFormat/>
    <w:rPr>
      <w:rFonts w:eastAsia="Segoe UI Symbol" w:cs="Segoe UI Symbol"/>
      <w:b w:val="false"/>
      <w:i w:val="false"/>
      <w:strike w:val="false"/>
      <w:dstrike w:val="false"/>
      <w:color w:val="000000"/>
      <w:position w:val="0"/>
      <w:sz w:val="20"/>
      <w:sz w:val="20"/>
      <w:szCs w:val="20"/>
      <w:u w:val="none" w:color="000000"/>
      <w:vertAlign w:val="baseline"/>
    </w:rPr>
  </w:style>
  <w:style w:type="character" w:styleId="ListLabel136">
    <w:name w:val="ListLabel 136"/>
    <w:qFormat/>
    <w:rPr>
      <w:sz w:val="20"/>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rFonts w:eastAsia="Arial" w:cs="Arial"/>
      <w:b/>
      <w:i w:val="false"/>
      <w:strike w:val="false"/>
      <w:dstrike w:val="false"/>
      <w:color w:val="000000"/>
      <w:position w:val="0"/>
      <w:sz w:val="18"/>
      <w:sz w:val="18"/>
      <w:szCs w:val="20"/>
      <w:u w:val="none" w:color="000000"/>
      <w:vertAlign w:val="baseline"/>
    </w:rPr>
  </w:style>
  <w:style w:type="character" w:styleId="ListLabel146">
    <w:name w:val="ListLabel 146"/>
    <w:qFormat/>
    <w:rPr>
      <w:rFonts w:cs="Courier New"/>
    </w:rPr>
  </w:style>
  <w:style w:type="character" w:styleId="ListLabel147">
    <w:name w:val="ListLabel 147"/>
    <w:qFormat/>
    <w:rPr>
      <w:rFonts w:cs="Courier New"/>
    </w:rPr>
  </w:style>
  <w:style w:type="character" w:styleId="ListLabel148">
    <w:name w:val="ListLabel 148"/>
    <w:qFormat/>
    <w:rPr>
      <w:rFonts w:cs="Courier New"/>
    </w:rPr>
  </w:style>
  <w:style w:type="character" w:styleId="ListLabel149">
    <w:name w:val="ListLabel 149"/>
    <w:qFormat/>
    <w:rPr>
      <w:lang w:val="fr-FR"/>
    </w:rPr>
  </w:style>
  <w:style w:type="character" w:styleId="ListLabel150">
    <w:name w:val="ListLabel 150"/>
    <w:qFormat/>
    <w:rPr>
      <w:rFonts w:ascii="Cambria" w:hAnsi="Cambria" w:cs="Tahoma"/>
      <w:sz w:val="16"/>
      <w:szCs w:val="16"/>
      <w:lang w:val="fr-F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af2767"/>
    <w:pPr>
      <w:spacing w:lineRule="auto" w:line="240" w:before="0" w:after="0"/>
    </w:pPr>
    <w:rPr>
      <w:rFonts w:ascii="Tahoma" w:hAnsi="Tahoma" w:cs="Tahoma"/>
      <w:sz w:val="16"/>
      <w:szCs w:val="16"/>
    </w:rPr>
  </w:style>
  <w:style w:type="paragraph" w:styleId="ListParagraph">
    <w:name w:val="List Paragraph"/>
    <w:basedOn w:val="Normal"/>
    <w:link w:val="ListParagraphChar"/>
    <w:uiPriority w:val="34"/>
    <w:qFormat/>
    <w:rsid w:val="005c0b0d"/>
    <w:pPr>
      <w:spacing w:before="0" w:after="200"/>
      <w:ind w:left="720" w:hanging="0"/>
      <w:contextualSpacing/>
    </w:pPr>
    <w:rPr/>
  </w:style>
  <w:style w:type="paragraph" w:styleId="NoSpacing">
    <w:name w:val="No Spacing"/>
    <w:link w:val="NoSpacingChar"/>
    <w:uiPriority w:val="1"/>
    <w:qFormat/>
    <w:rsid w:val="00fb3a64"/>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Normal1" w:customStyle="1">
    <w:name w:val="Normal1"/>
    <w:qFormat/>
    <w:rsid w:val="00040fca"/>
    <w:pPr>
      <w:widowControl/>
      <w:bidi w:val="0"/>
      <w:jc w:val="left"/>
    </w:pPr>
    <w:rPr>
      <w:rFonts w:ascii="Calibri" w:hAnsi="Calibri" w:eastAsia="Calibri" w:cs="Calibri" w:asciiTheme="minorHAnsi" w:eastAsiaTheme="minorHAnsi" w:hAnsiTheme="minorHAnsi"/>
      <w:color w:val="auto"/>
      <w:kern w:val="0"/>
      <w:sz w:val="22"/>
      <w:szCs w:val="22"/>
      <w:lang w:val="en-IN" w:eastAsia="en-US" w:bidi="ar-SA"/>
    </w:rPr>
  </w:style>
  <w:style w:type="paragraph" w:styleId="Annotationtext">
    <w:name w:val="annotation text"/>
    <w:basedOn w:val="Normal"/>
    <w:link w:val="CommentTextChar"/>
    <w:uiPriority w:val="99"/>
    <w:unhideWhenUsed/>
    <w:qFormat/>
    <w:rsid w:val="00080592"/>
    <w:pPr>
      <w:spacing w:lineRule="auto" w:line="240"/>
    </w:pPr>
    <w:rPr>
      <w:sz w:val="20"/>
      <w:szCs w:val="20"/>
    </w:rPr>
  </w:style>
  <w:style w:type="paragraph" w:styleId="Annotationsubject">
    <w:name w:val="annotation subject"/>
    <w:basedOn w:val="Annotationtext"/>
    <w:link w:val="CommentSubjectChar"/>
    <w:uiPriority w:val="99"/>
    <w:semiHidden/>
    <w:unhideWhenUsed/>
    <w:qFormat/>
    <w:rsid w:val="00080592"/>
    <w:pPr/>
    <w:rPr>
      <w:b/>
      <w:bCs/>
    </w:rPr>
  </w:style>
  <w:style w:type="paragraph" w:styleId="Footer">
    <w:name w:val="Footer"/>
    <w:basedOn w:val="Normal"/>
    <w:link w:val="FooterChar"/>
    <w:uiPriority w:val="99"/>
    <w:unhideWhenUsed/>
    <w:rsid w:val="004957a8"/>
    <w:pPr>
      <w:tabs>
        <w:tab w:val="center" w:pos="4680" w:leader="none"/>
        <w:tab w:val="right" w:pos="9360" w:leader="none"/>
      </w:tabs>
      <w:spacing w:lineRule="auto" w:line="240" w:before="0" w:after="0"/>
    </w:pPr>
    <w:rPr/>
  </w:style>
  <w:style w:type="paragraph" w:styleId="TextBodyIndent">
    <w:name w:val="Body Text Indent"/>
    <w:basedOn w:val="Normal"/>
    <w:link w:val="BodyTextIndentChar"/>
    <w:semiHidden/>
    <w:rsid w:val="0027312b"/>
    <w:pPr>
      <w:spacing w:lineRule="auto" w:line="240" w:before="0" w:after="0"/>
      <w:ind w:left="5760" w:hanging="0"/>
    </w:pPr>
    <w:rPr>
      <w:rFonts w:ascii="Arial" w:hAnsi="Arial" w:eastAsia="Times New Roman" w:cs="Arial"/>
      <w:sz w:val="20"/>
      <w:szCs w:val="24"/>
    </w:rPr>
  </w:style>
  <w:style w:type="paragraph" w:styleId="PlainText">
    <w:name w:val="Plain Text"/>
    <w:basedOn w:val="Normal"/>
    <w:link w:val="PlainTextChar"/>
    <w:uiPriority w:val="99"/>
    <w:qFormat/>
    <w:rsid w:val="00306f47"/>
    <w:pPr>
      <w:spacing w:lineRule="auto" w:line="240" w:before="0" w:after="0"/>
    </w:pPr>
    <w:rPr>
      <w:rFonts w:ascii="Courier New" w:hAnsi="Courier New" w:eastAsia="Times New Roman" w:cs="Times New Roman"/>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372de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5b0fa0"/>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rv_sharma@hotmail.com" TargetMode="External"/><Relationship Id="rId3" Type="http://schemas.openxmlformats.org/officeDocument/2006/relationships/image" Target="media/image1.png"/><Relationship Id="rId4" Type="http://schemas.openxmlformats.org/officeDocument/2006/relationships/hyperlink" Target="https://www.linkedin.com/in/gaurav-sharma-pm-data-analys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jpeg"/><Relationship Id="rId21" Type="http://schemas.openxmlformats.org/officeDocument/2006/relationships/diagramData" Target="diagrams/data21.xml"/><Relationship Id="rId22" Type="http://schemas.openxmlformats.org/officeDocument/2006/relationships/diagramLayout" Target="diagrams/layout21.xml"/><Relationship Id="rId23" Type="http://schemas.openxmlformats.org/officeDocument/2006/relationships/diagramQuickStyle" Target="diagrams/quickStyle21.xml"/><Relationship Id="rId24" Type="http://schemas.openxmlformats.org/officeDocument/2006/relationships/diagramColors" Target="diagrams/colors21.xml"/><Relationship Id="rId25" Type="http://schemas.microsoft.com/office/2007/relationships/diagramDrawing" Target="diagrams/drawing21.xml"/><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Relationship Id="rId43" Type="http://schemas.openxmlformats.org/officeDocument/2006/relationships/customXml" Target="../customXml/item2.xml"/><Relationship Id="rId44" Type="http://schemas.openxmlformats.org/officeDocument/2006/relationships/customXml" Target="../customXml/item3.xml"/><Relationship Id="rId45" Type="http://schemas.openxmlformats.org/officeDocument/2006/relationships/customXml" Target="../customXml/item4.xml"/>
</Relationships>
</file>

<file path=word/_rels/numbering.xml.rels><?xml version="1.0" encoding="UTF-8"?>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1.png"/>
</Relationships>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1.xml><?xml version="1.0" encoding="utf-8"?>
<dgm:dataModel xmlns:dgm="http://schemas.openxmlformats.org/drawingml/2006/diagram" xmlns:a="http://schemas.openxmlformats.org/drawingml/2006/main">
  <dgm:ptLst>
    <dgm:pt modelId="{DACB6AE1-BDDE-4A06-807E-77ED4F12473C}" type="doc">
      <dgm:prSet loTypeId="urn:microsoft.com/office/officeart/2005/8/layout/process1" loCatId="process" qsTypeId="urn:microsoft.com/office/officeart/2005/8/quickstyle/simple1" qsCatId="simple" csTypeId="urn:microsoft.com/office/officeart/2005/8/colors/accent1_2" csCatId="accent1" phldr="1"/>
      <dgm:spPr/>
    </dgm:pt>
    <dgm:pt modelId="{7DB9D28F-86C7-4BDC-A112-92E3FD974F9E}">
      <dgm:prSet phldrT="[Text]" custT="1"/>
      <dgm:spPr/>
      <dgm:t>
        <a:bodyPr/>
        <a:lstStyle/>
        <a:p>
          <a:r>
            <a:rPr lang="en-IN" sz="900"/>
            <a:t>Convergys                                S</a:t>
          </a:r>
          <a:r>
            <a:rPr lang="en-GB" sz="900" b="1"/>
            <a:t>ept 2006</a:t>
          </a:r>
          <a:r>
            <a:rPr lang="en-GB" sz="900" b="0"/>
            <a:t> </a:t>
          </a:r>
          <a:r>
            <a:rPr lang="en-GB" sz="900" b="1"/>
            <a:t>– Jul 2012</a:t>
          </a:r>
          <a:r>
            <a:rPr lang="en-GB" sz="900" b="0" i="1"/>
            <a:t> </a:t>
          </a:r>
          <a:endParaRPr lang="en-IN" sz="900"/>
        </a:p>
      </dgm:t>
    </dgm:pt>
    <dgm:pt modelId="{6AAA4223-B34A-4FD2-9024-761C29275C86}" type="parTrans" cxnId="{A2E3EE5F-B7B9-4A6B-B461-3B0FFAA257BA}">
      <dgm:prSet/>
      <dgm:spPr/>
      <dgm:t>
        <a:bodyPr/>
        <a:lstStyle/>
        <a:p>
          <a:endParaRPr lang="en-IN"/>
        </a:p>
      </dgm:t>
    </dgm:pt>
    <dgm:pt modelId="{0F2F43FE-D278-4F5D-B7F7-FB0E701217CC}" type="sibTrans" cxnId="{A2E3EE5F-B7B9-4A6B-B461-3B0FFAA257BA}">
      <dgm:prSet/>
      <dgm:spPr/>
      <dgm:t>
        <a:bodyPr/>
        <a:lstStyle/>
        <a:p>
          <a:endParaRPr lang="en-IN"/>
        </a:p>
      </dgm:t>
    </dgm:pt>
    <dgm:pt modelId="{AB2EB7DC-BB74-4C3C-9ECA-613B05A3AA7B}">
      <dgm:prSet phldrT="[Text]" custT="1"/>
      <dgm:spPr/>
      <dgm:t>
        <a:bodyPr/>
        <a:lstStyle/>
        <a:p>
          <a:r>
            <a:rPr lang="en-IN" sz="900"/>
            <a:t>HCL Technologies                               </a:t>
          </a:r>
          <a:r>
            <a:rPr lang="fr-FR" sz="900" b="1"/>
            <a:t>Apr 2014 – Feb 2017 </a:t>
          </a:r>
          <a:endParaRPr lang="en-IN" sz="900"/>
        </a:p>
      </dgm:t>
    </dgm:pt>
    <dgm:pt modelId="{A36A14EF-04FB-4717-87BA-CB8C20352421}" type="parTrans" cxnId="{8560E67F-5FD7-451E-9748-62F29143DD58}">
      <dgm:prSet/>
      <dgm:spPr/>
      <dgm:t>
        <a:bodyPr/>
        <a:lstStyle/>
        <a:p>
          <a:endParaRPr lang="en-IN"/>
        </a:p>
      </dgm:t>
    </dgm:pt>
    <dgm:pt modelId="{44B697D6-199E-4848-BB5B-FA5F1D6B95DD}" type="sibTrans" cxnId="{8560E67F-5FD7-451E-9748-62F29143DD58}">
      <dgm:prSet/>
      <dgm:spPr/>
      <dgm:t>
        <a:bodyPr/>
        <a:lstStyle/>
        <a:p>
          <a:endParaRPr lang="en-IN"/>
        </a:p>
      </dgm:t>
    </dgm:pt>
    <dgm:pt modelId="{01869091-857D-4768-8F0D-AF151FABFB91}">
      <dgm:prSet phldrT="[Text]" custT="1"/>
      <dgm:spPr/>
      <dgm:t>
        <a:bodyPr/>
        <a:lstStyle/>
        <a:p>
          <a:r>
            <a:rPr lang="en-IN" sz="900"/>
            <a:t>IBM India                                    </a:t>
          </a:r>
          <a:r>
            <a:rPr lang="en-GB" sz="900" b="1"/>
            <a:t>Feb 2017</a:t>
          </a:r>
          <a:r>
            <a:rPr lang="en-GB" sz="900" b="0"/>
            <a:t> </a:t>
          </a:r>
          <a:r>
            <a:rPr lang="en-GB" sz="900" b="1"/>
            <a:t>– Jun 2019</a:t>
          </a:r>
          <a:r>
            <a:rPr lang="en-GB" sz="900" b="0" i="1"/>
            <a:t> </a:t>
          </a:r>
          <a:endParaRPr lang="en-IN" sz="900"/>
        </a:p>
      </dgm:t>
    </dgm:pt>
    <dgm:pt modelId="{4A9E0526-B627-42DC-9939-0BD816F92D63}" type="parTrans" cxnId="{008A2DE3-FC78-4ED0-AA04-07D3B279EA3D}">
      <dgm:prSet/>
      <dgm:spPr/>
      <dgm:t>
        <a:bodyPr/>
        <a:lstStyle/>
        <a:p>
          <a:endParaRPr lang="en-IN"/>
        </a:p>
      </dgm:t>
    </dgm:pt>
    <dgm:pt modelId="{D27324B9-AFE2-473A-BF0C-2196F9F57872}" type="sibTrans" cxnId="{008A2DE3-FC78-4ED0-AA04-07D3B279EA3D}">
      <dgm:prSet/>
      <dgm:spPr/>
      <dgm:t>
        <a:bodyPr/>
        <a:lstStyle/>
        <a:p>
          <a:endParaRPr lang="en-IN"/>
        </a:p>
      </dgm:t>
    </dgm:pt>
    <dgm:pt modelId="{089B6014-0761-4993-AC13-DA0434E5A8DA}">
      <dgm:prSet phldrT="[Text]" custT="1"/>
      <dgm:spPr/>
      <dgm:t>
        <a:bodyPr/>
        <a:lstStyle/>
        <a:p>
          <a:r>
            <a:rPr lang="en-GB" sz="900" i="1"/>
            <a:t>Atomic North Pvt. Ltd., </a:t>
          </a:r>
          <a:r>
            <a:rPr lang="en-IN" sz="900"/>
            <a:t>          </a:t>
          </a:r>
          <a:r>
            <a:rPr lang="en-GB" sz="900" b="1"/>
            <a:t>Jul 2023 </a:t>
          </a:r>
          <a:r>
            <a:rPr lang="en-IN" sz="900" b="1"/>
            <a:t> - Mar 2026</a:t>
          </a:r>
        </a:p>
      </dgm:t>
    </dgm:pt>
    <dgm:pt modelId="{1AE08B31-B524-42CA-8FD6-F9BFB9B2C489}" type="parTrans" cxnId="{BDED7D4A-FA56-4A65-B378-8CAEADB3A42E}">
      <dgm:prSet/>
      <dgm:spPr/>
      <dgm:t>
        <a:bodyPr/>
        <a:lstStyle/>
        <a:p>
          <a:endParaRPr lang="en-IN"/>
        </a:p>
      </dgm:t>
    </dgm:pt>
    <dgm:pt modelId="{8BA94661-5351-4966-AE54-44BB28FEB6A2}" type="sibTrans" cxnId="{BDED7D4A-FA56-4A65-B378-8CAEADB3A42E}">
      <dgm:prSet/>
      <dgm:spPr/>
      <dgm:t>
        <a:bodyPr/>
        <a:lstStyle/>
        <a:p>
          <a:endParaRPr lang="en-IN"/>
        </a:p>
      </dgm:t>
    </dgm:pt>
    <dgm:pt modelId="{42AECD80-70F1-45BA-A83E-D85D430D2461}">
      <dgm:prSet phldrT="[Text]" custT="1"/>
      <dgm:spPr/>
      <dgm:t>
        <a:bodyPr/>
        <a:lstStyle/>
        <a:p>
          <a:r>
            <a:rPr lang="en-IN" sz="900"/>
            <a:t>Navisite                                       </a:t>
          </a:r>
          <a:r>
            <a:rPr lang="en-GB" sz="900" b="1"/>
            <a:t>Jul 2012</a:t>
          </a:r>
          <a:r>
            <a:rPr lang="en-GB" sz="900" b="0"/>
            <a:t> </a:t>
          </a:r>
          <a:r>
            <a:rPr lang="en-GB" sz="900" b="1"/>
            <a:t>– Apr 2014</a:t>
          </a:r>
          <a:r>
            <a:rPr lang="en-GB" sz="900" b="0" i="1"/>
            <a:t> </a:t>
          </a:r>
          <a:endParaRPr lang="en-IN" sz="900"/>
        </a:p>
      </dgm:t>
    </dgm:pt>
    <dgm:pt modelId="{89317425-4D24-4B11-8BEE-65C738F6B4C0}" type="parTrans" cxnId="{6827F588-ABA0-456F-80CB-78793C8F631C}">
      <dgm:prSet/>
      <dgm:spPr/>
      <dgm:t>
        <a:bodyPr/>
        <a:lstStyle/>
        <a:p>
          <a:endParaRPr lang="en-GB"/>
        </a:p>
      </dgm:t>
    </dgm:pt>
    <dgm:pt modelId="{15E43D36-08DD-4A54-8E87-9CF3D8EA5B26}" type="sibTrans" cxnId="{6827F588-ABA0-456F-80CB-78793C8F631C}">
      <dgm:prSet/>
      <dgm:spPr/>
      <dgm:t>
        <a:bodyPr/>
        <a:lstStyle/>
        <a:p>
          <a:endParaRPr lang="en-GB"/>
        </a:p>
      </dgm:t>
    </dgm:pt>
    <dgm:pt modelId="{CE12470E-47CB-4844-91B8-F72260E77560}">
      <dgm:prSet phldrT="[Text]" custT="1"/>
      <dgm:spPr/>
      <dgm:t>
        <a:bodyPr/>
        <a:lstStyle/>
        <a:p>
          <a:pPr>
            <a:buNone/>
          </a:pPr>
          <a:r>
            <a:rPr lang="en-GB" sz="900" i="1"/>
            <a:t>Fareportal India        </a:t>
          </a:r>
          <a:r>
            <a:rPr lang="en-GB" sz="900" b="1"/>
            <a:t>Jun 2019</a:t>
          </a:r>
          <a:r>
            <a:rPr lang="en-GB" sz="900" b="0"/>
            <a:t> </a:t>
          </a:r>
          <a:r>
            <a:rPr lang="en-GB" sz="900" b="1"/>
            <a:t>– Aug 2020</a:t>
          </a:r>
          <a:r>
            <a:rPr lang="en-GB" sz="900" b="0" i="1"/>
            <a:t> </a:t>
          </a:r>
          <a:endParaRPr lang="en-IN" sz="900"/>
        </a:p>
      </dgm:t>
    </dgm:pt>
    <dgm:pt modelId="{049ED630-9FAA-4F02-8C5F-38B4ECB637E0}" type="parTrans" cxnId="{5CC9A943-1D3D-434A-B025-0D7DCB7E9731}">
      <dgm:prSet/>
      <dgm:spPr/>
      <dgm:t>
        <a:bodyPr/>
        <a:lstStyle/>
        <a:p>
          <a:endParaRPr lang="en-GB"/>
        </a:p>
      </dgm:t>
    </dgm:pt>
    <dgm:pt modelId="{C8BFCBD8-A6EC-4B8C-B2E2-02C9BDDD212A}" type="sibTrans" cxnId="{5CC9A943-1D3D-434A-B025-0D7DCB7E9731}">
      <dgm:prSet/>
      <dgm:spPr/>
      <dgm:t>
        <a:bodyPr/>
        <a:lstStyle/>
        <a:p>
          <a:endParaRPr lang="en-GB"/>
        </a:p>
      </dgm:t>
    </dgm:pt>
    <dgm:pt modelId="{C4EE4215-9E2C-4068-B4B3-6B4446CA145E}">
      <dgm:prSet phldrT="[Text]" custT="1"/>
      <dgm:spPr/>
      <dgm:t>
        <a:bodyPr/>
        <a:lstStyle/>
        <a:p>
          <a:pPr>
            <a:buNone/>
          </a:pPr>
          <a:r>
            <a:rPr lang="en-GB" sz="900" i="1"/>
            <a:t>Dhani Stocks Ltd. (Indiabulls Group)                                  </a:t>
          </a:r>
          <a:r>
            <a:rPr lang="en-GB" sz="900" b="1"/>
            <a:t>Aug 2020</a:t>
          </a:r>
          <a:r>
            <a:rPr lang="en-GB" sz="900" b="0"/>
            <a:t> </a:t>
          </a:r>
          <a:r>
            <a:rPr lang="en-GB" sz="900" b="1"/>
            <a:t>– May 2022</a:t>
          </a:r>
          <a:r>
            <a:rPr lang="en-GB" sz="900" b="0" i="1"/>
            <a:t> </a:t>
          </a:r>
          <a:r>
            <a:rPr lang="en-GB" sz="900" i="1"/>
            <a:t> </a:t>
          </a:r>
          <a:endParaRPr lang="en-IN" sz="900"/>
        </a:p>
      </dgm:t>
    </dgm:pt>
    <dgm:pt modelId="{265AF655-2B57-494E-A60C-4EEE2F140A8D}" type="parTrans" cxnId="{4F8E39BF-FAB3-4E50-B978-5150918F7C2A}">
      <dgm:prSet/>
      <dgm:spPr/>
      <dgm:t>
        <a:bodyPr/>
        <a:lstStyle/>
        <a:p>
          <a:endParaRPr lang="en-GB"/>
        </a:p>
      </dgm:t>
    </dgm:pt>
    <dgm:pt modelId="{F902E994-D0E1-4634-B629-49D75065DA7B}" type="sibTrans" cxnId="{4F8E39BF-FAB3-4E50-B978-5150918F7C2A}">
      <dgm:prSet/>
      <dgm:spPr/>
      <dgm:t>
        <a:bodyPr/>
        <a:lstStyle/>
        <a:p>
          <a:endParaRPr lang="en-GB"/>
        </a:p>
      </dgm:t>
    </dgm:pt>
    <dgm:pt modelId="{AD06F3DF-7349-4327-BE43-270D7755185F}">
      <dgm:prSet phldrT="[Text]" custT="1"/>
      <dgm:spPr/>
      <dgm:t>
        <a:bodyPr/>
        <a:lstStyle/>
        <a:p>
          <a:pPr>
            <a:buNone/>
          </a:pPr>
          <a:r>
            <a:rPr lang="en-GB" sz="900" i="1"/>
            <a:t>Innovation Technology By Design (ITBD)                          </a:t>
          </a:r>
          <a:r>
            <a:rPr lang="en-GB" sz="900" b="1"/>
            <a:t>May 2022 – May-2023</a:t>
          </a:r>
          <a:r>
            <a:rPr lang="en-GB" sz="900" b="0" i="1"/>
            <a:t> </a:t>
          </a:r>
          <a:endParaRPr lang="en-IN" sz="900"/>
        </a:p>
      </dgm:t>
    </dgm:pt>
    <dgm:pt modelId="{DF888BF4-5B21-459F-BDAF-AE460F182709}" type="parTrans" cxnId="{7B18A318-22FC-491C-9108-63DA9D0FB27B}">
      <dgm:prSet/>
      <dgm:spPr/>
      <dgm:t>
        <a:bodyPr/>
        <a:lstStyle/>
        <a:p>
          <a:endParaRPr lang="en-GB"/>
        </a:p>
      </dgm:t>
    </dgm:pt>
    <dgm:pt modelId="{F4F15E41-EF47-41F0-BC6C-38F7F7892BBA}" type="sibTrans" cxnId="{7B18A318-22FC-491C-9108-63DA9D0FB27B}">
      <dgm:prSet/>
      <dgm:spPr/>
      <dgm:t>
        <a:bodyPr/>
        <a:lstStyle/>
        <a:p>
          <a:endParaRPr lang="en-GB"/>
        </a:p>
      </dgm:t>
    </dgm:pt>
    <dgm:pt modelId="{D19FF451-5C39-4D89-995D-71E6DB007F4B}" type="pres">
      <dgm:prSet presAssocID="{DACB6AE1-BDDE-4A06-807E-77ED4F12473C}" presName="Name0" presStyleCnt="0">
        <dgm:presLayoutVars>
          <dgm:dir val="norm"/>
          <dgm:resizeHandles val="exact"/>
        </dgm:presLayoutVars>
      </dgm:prSet>
      <dgm:spPr/>
    </dgm:pt>
    <dgm:pt modelId="{DB8169DB-D85F-42B0-BFE1-B1AE6DC51B1B}" type="pres">
      <dgm:prSet presAssocID="{7DB9D28F-86C7-4BDC-A112-92E3FD974F9E}" presName="node" presStyleLbl="node1" presStyleIdx="0" presStyleCnt="8" custLinFactNeighborX="1059">
        <dgm:presLayoutVars>
          <dgm:bulletEnabled val="1"/>
        </dgm:presLayoutVars>
      </dgm:prSet>
      <dgm:spPr/>
    </dgm:pt>
    <dgm:pt modelId="{5DF304C5-7537-4973-BF84-02C696C1DF1A}" type="pres">
      <dgm:prSet presAssocID="{0F2F43FE-D278-4F5D-B7F7-FB0E701217CC}" presName="sibTrans" presStyleLbl="sibTrans2D1" presStyleIdx="0" presStyleCnt="7"/>
      <dgm:spPr/>
    </dgm:pt>
    <dgm:pt modelId="{32D607CA-F318-411D-A2AC-AB070D1D13C6}" type="pres">
      <dgm:prSet presAssocID="{0F2F43FE-D278-4F5D-B7F7-FB0E701217CC}" presName="connectorText" presStyleLbl="sibTrans2D1" presStyleIdx="0" presStyleCnt="7"/>
      <dgm:spPr/>
    </dgm:pt>
    <dgm:pt modelId="{4E6852C4-A156-4FBB-83D9-3955CB667651}" type="pres">
      <dgm:prSet presAssocID="{42AECD80-70F1-45BA-A83E-D85D430D2461}" presName="node" presStyleLbl="node1" presStyleIdx="1" presStyleCnt="8">
        <dgm:presLayoutVars>
          <dgm:bulletEnabled val="1"/>
        </dgm:presLayoutVars>
      </dgm:prSet>
      <dgm:spPr/>
    </dgm:pt>
    <dgm:pt modelId="{3D8901B9-3F28-40BE-BD00-ACA5C141D112}" type="pres">
      <dgm:prSet presAssocID="{15E43D36-08DD-4A54-8E87-9CF3D8EA5B26}" presName="sibTrans" presStyleLbl="sibTrans2D1" presStyleIdx="1" presStyleCnt="7"/>
      <dgm:spPr/>
    </dgm:pt>
    <dgm:pt modelId="{52715165-8A44-4C41-8A21-9B76C2AC43F1}" type="pres">
      <dgm:prSet presAssocID="{15E43D36-08DD-4A54-8E87-9CF3D8EA5B26}" presName="connectorText" presStyleLbl="sibTrans2D1" presStyleIdx="1" presStyleCnt="7"/>
      <dgm:spPr/>
    </dgm:pt>
    <dgm:pt modelId="{2CFAFDDC-1889-4F78-A9F3-876F12AC9DFD}" type="pres">
      <dgm:prSet presAssocID="{AB2EB7DC-BB74-4C3C-9ECA-613B05A3AA7B}" presName="node" presStyleLbl="node1" presStyleIdx="2" presStyleCnt="8">
        <dgm:presLayoutVars>
          <dgm:bulletEnabled val="1"/>
        </dgm:presLayoutVars>
      </dgm:prSet>
      <dgm:spPr/>
    </dgm:pt>
    <dgm:pt modelId="{5BC90264-0048-45B6-97B8-8D542A39A24A}" type="pres">
      <dgm:prSet presAssocID="{44B697D6-199E-4848-BB5B-FA5F1D6B95DD}" presName="sibTrans" presStyleLbl="sibTrans2D1" presStyleIdx="2" presStyleCnt="7"/>
      <dgm:spPr/>
    </dgm:pt>
    <dgm:pt modelId="{0593BA3B-49BF-48D1-B069-EA85832D2911}" type="pres">
      <dgm:prSet presAssocID="{44B697D6-199E-4848-BB5B-FA5F1D6B95DD}" presName="connectorText" presStyleLbl="sibTrans2D1" presStyleIdx="2" presStyleCnt="7"/>
      <dgm:spPr/>
    </dgm:pt>
    <dgm:pt modelId="{FBDADD3A-413B-43E6-B4A9-01835B4232C9}" type="pres">
      <dgm:prSet presAssocID="{01869091-857D-4768-8F0D-AF151FABFB91}" presName="node" presStyleLbl="node1" presStyleIdx="3" presStyleCnt="8">
        <dgm:presLayoutVars>
          <dgm:bulletEnabled val="1"/>
        </dgm:presLayoutVars>
      </dgm:prSet>
      <dgm:spPr/>
    </dgm:pt>
    <dgm:pt modelId="{F2E5D2CE-27FF-4981-ACE7-818A6B7DD067}" type="pres">
      <dgm:prSet presAssocID="{D27324B9-AFE2-473A-BF0C-2196F9F57872}" presName="sibTrans" presStyleLbl="sibTrans2D1" presStyleIdx="3" presStyleCnt="7"/>
      <dgm:spPr/>
    </dgm:pt>
    <dgm:pt modelId="{C75CBCEC-A97A-4BE2-9D0D-6BD45CE42C21}" type="pres">
      <dgm:prSet presAssocID="{D27324B9-AFE2-473A-BF0C-2196F9F57872}" presName="connectorText" presStyleLbl="sibTrans2D1" presStyleIdx="3" presStyleCnt="7"/>
      <dgm:spPr/>
    </dgm:pt>
    <dgm:pt modelId="{F61F69DD-125A-41EB-978A-FD7B676E94EE}" type="pres">
      <dgm:prSet presAssocID="{CE12470E-47CB-4844-91B8-F72260E77560}" presName="node" presStyleLbl="node1" presStyleIdx="4" presStyleCnt="8">
        <dgm:presLayoutVars>
          <dgm:bulletEnabled val="1"/>
        </dgm:presLayoutVars>
      </dgm:prSet>
      <dgm:spPr/>
    </dgm:pt>
    <dgm:pt modelId="{90816126-0A6C-4B37-B77F-DA039714AEDA}" type="pres">
      <dgm:prSet presAssocID="{C8BFCBD8-A6EC-4B8C-B2E2-02C9BDDD212A}" presName="sibTrans" presStyleLbl="sibTrans2D1" presStyleIdx="4" presStyleCnt="7"/>
      <dgm:spPr/>
    </dgm:pt>
    <dgm:pt modelId="{35408908-0BD6-4A97-9028-076F70EC38D1}" type="pres">
      <dgm:prSet presAssocID="{C8BFCBD8-A6EC-4B8C-B2E2-02C9BDDD212A}" presName="connectorText" presStyleLbl="sibTrans2D1" presStyleIdx="4" presStyleCnt="7"/>
      <dgm:spPr/>
    </dgm:pt>
    <dgm:pt modelId="{E47AF00E-F53A-455F-A2FE-71098D838F94}" type="pres">
      <dgm:prSet presAssocID="{C4EE4215-9E2C-4068-B4B3-6B4446CA145E}" presName="node" presStyleLbl="node1" presStyleIdx="5" presStyleCnt="8">
        <dgm:presLayoutVars>
          <dgm:bulletEnabled val="1"/>
        </dgm:presLayoutVars>
      </dgm:prSet>
      <dgm:spPr/>
    </dgm:pt>
    <dgm:pt modelId="{A4DBAF8B-6405-41D6-99B0-5C33D5235914}" type="pres">
      <dgm:prSet presAssocID="{F902E994-D0E1-4634-B629-49D75065DA7B}" presName="sibTrans" presStyleLbl="sibTrans2D1" presStyleIdx="5" presStyleCnt="7"/>
      <dgm:spPr/>
    </dgm:pt>
    <dgm:pt modelId="{9518D5C0-BFB7-4544-A3B9-28E05C65814C}" type="pres">
      <dgm:prSet presAssocID="{F902E994-D0E1-4634-B629-49D75065DA7B}" presName="connectorText" presStyleLbl="sibTrans2D1" presStyleIdx="5" presStyleCnt="7"/>
      <dgm:spPr/>
    </dgm:pt>
    <dgm:pt modelId="{8E0F25A5-BEFB-4D28-AE4D-896E19C2451B}" type="pres">
      <dgm:prSet presAssocID="{AD06F3DF-7349-4327-BE43-270D7755185F}" presName="node" presStyleLbl="node1" presStyleIdx="6" presStyleCnt="8">
        <dgm:presLayoutVars>
          <dgm:bulletEnabled val="1"/>
        </dgm:presLayoutVars>
      </dgm:prSet>
      <dgm:spPr/>
    </dgm:pt>
    <dgm:pt modelId="{8E341B16-7C47-42C8-8EF6-CA64DE16BE90}" type="pres">
      <dgm:prSet presAssocID="{F4F15E41-EF47-41F0-BC6C-38F7F7892BBA}" presName="sibTrans" presStyleLbl="sibTrans2D1" presStyleIdx="6" presStyleCnt="7"/>
      <dgm:spPr/>
    </dgm:pt>
    <dgm:pt modelId="{2BC99351-C4F2-4FA8-A06A-A213F259197D}" type="pres">
      <dgm:prSet presAssocID="{F4F15E41-EF47-41F0-BC6C-38F7F7892BBA}" presName="connectorText" presStyleLbl="sibTrans2D1" presStyleIdx="6" presStyleCnt="7"/>
      <dgm:spPr/>
    </dgm:pt>
    <dgm:pt modelId="{5CEDB16D-2A91-476C-BD2B-FB3C97D8DF75}" type="pres">
      <dgm:prSet presAssocID="{089B6014-0761-4993-AC13-DA0434E5A8DA}" presName="node" presStyleLbl="node1" presStyleIdx="7" presStyleCnt="8">
        <dgm:presLayoutVars>
          <dgm:bulletEnabled val="1"/>
        </dgm:presLayoutVars>
      </dgm:prSet>
      <dgm:spPr/>
    </dgm:pt>
  </dgm:ptLst>
  <dgm:cxnLst>
    <dgm:cxn modelId="{011C6403-3F9A-486D-9C7C-12CC4B4D9713}" type="presOf" srcId="{42AECD80-70F1-45BA-A83E-D85D430D2461}" destId="{4E6852C4-A156-4FBB-83D9-3955CB667651}" srcOrd="0" destOrd="0" presId="urn:microsoft.com/office/officeart/2005/8/layout/process1"/>
    <dgm:cxn modelId="{6A934B09-FD32-45DF-A178-8C40E9FD7B91}" type="presOf" srcId="{AD06F3DF-7349-4327-BE43-270D7755185F}" destId="{8E0F25A5-BEFB-4D28-AE4D-896E19C2451B}" srcOrd="0" destOrd="0" presId="urn:microsoft.com/office/officeart/2005/8/layout/process1"/>
    <dgm:cxn modelId="{BFFB860D-D267-44B3-A1B3-08FD1306C37B}" type="presOf" srcId="{C4EE4215-9E2C-4068-B4B3-6B4446CA145E}" destId="{E47AF00E-F53A-455F-A2FE-71098D838F94}" srcOrd="0" destOrd="0" presId="urn:microsoft.com/office/officeart/2005/8/layout/process1"/>
    <dgm:cxn modelId="{421C0512-CCB0-4F67-9489-FD0ED74924F0}" type="presOf" srcId="{0F2F43FE-D278-4F5D-B7F7-FB0E701217CC}" destId="{32D607CA-F318-411D-A2AC-AB070D1D13C6}" srcOrd="1" destOrd="0" presId="urn:microsoft.com/office/officeart/2005/8/layout/process1"/>
    <dgm:cxn modelId="{7B18A318-22FC-491C-9108-63DA9D0FB27B}" srcId="{DACB6AE1-BDDE-4A06-807E-77ED4F12473C}" destId="{AD06F3DF-7349-4327-BE43-270D7755185F}" srcOrd="6" destOrd="0" parTransId="{DF888BF4-5B21-459F-BDAF-AE460F182709}" sibTransId="{F4F15E41-EF47-41F0-BC6C-38F7F7892BBA}"/>
    <dgm:cxn modelId="{C4EF131A-EB2D-4F85-A67C-3C42ACC17F0A}" type="presOf" srcId="{44B697D6-199E-4848-BB5B-FA5F1D6B95DD}" destId="{0593BA3B-49BF-48D1-B069-EA85832D2911}" srcOrd="1" destOrd="0" presId="urn:microsoft.com/office/officeart/2005/8/layout/process1"/>
    <dgm:cxn modelId="{54841B27-44D4-456C-9F42-208AB897084A}" type="presOf" srcId="{44B697D6-199E-4848-BB5B-FA5F1D6B95DD}" destId="{5BC90264-0048-45B6-97B8-8D542A39A24A}" srcOrd="0" destOrd="0" presId="urn:microsoft.com/office/officeart/2005/8/layout/process1"/>
    <dgm:cxn modelId="{F9C66E2A-D579-4E9A-8E5C-CEE25465B263}" type="presOf" srcId="{C8BFCBD8-A6EC-4B8C-B2E2-02C9BDDD212A}" destId="{35408908-0BD6-4A97-9028-076F70EC38D1}" srcOrd="1" destOrd="0" presId="urn:microsoft.com/office/officeart/2005/8/layout/process1"/>
    <dgm:cxn modelId="{F8FB4530-14F8-4C4C-BBCC-6D171862FB61}" type="presOf" srcId="{D27324B9-AFE2-473A-BF0C-2196F9F57872}" destId="{C75CBCEC-A97A-4BE2-9D0D-6BD45CE42C21}" srcOrd="1" destOrd="0" presId="urn:microsoft.com/office/officeart/2005/8/layout/process1"/>
    <dgm:cxn modelId="{A2E3EE5F-B7B9-4A6B-B461-3B0FFAA257BA}" srcId="{DACB6AE1-BDDE-4A06-807E-77ED4F12473C}" destId="{7DB9D28F-86C7-4BDC-A112-92E3FD974F9E}" srcOrd="0" destOrd="0" parTransId="{6AAA4223-B34A-4FD2-9024-761C29275C86}" sibTransId="{0F2F43FE-D278-4F5D-B7F7-FB0E701217CC}"/>
    <dgm:cxn modelId="{F71D6C43-2491-4633-9963-D9EFC7C6C300}" type="presOf" srcId="{C8BFCBD8-A6EC-4B8C-B2E2-02C9BDDD212A}" destId="{90816126-0A6C-4B37-B77F-DA039714AEDA}" srcOrd="0" destOrd="0" presId="urn:microsoft.com/office/officeart/2005/8/layout/process1"/>
    <dgm:cxn modelId="{5CC9A943-1D3D-434A-B025-0D7DCB7E9731}" srcId="{DACB6AE1-BDDE-4A06-807E-77ED4F12473C}" destId="{CE12470E-47CB-4844-91B8-F72260E77560}" srcOrd="4" destOrd="0" parTransId="{049ED630-9FAA-4F02-8C5F-38B4ECB637E0}" sibTransId="{C8BFCBD8-A6EC-4B8C-B2E2-02C9BDDD212A}"/>
    <dgm:cxn modelId="{BDED7D4A-FA56-4A65-B378-8CAEADB3A42E}" srcId="{DACB6AE1-BDDE-4A06-807E-77ED4F12473C}" destId="{089B6014-0761-4993-AC13-DA0434E5A8DA}" srcOrd="7" destOrd="0" parTransId="{1AE08B31-B524-42CA-8FD6-F9BFB9B2C489}" sibTransId="{8BA94661-5351-4966-AE54-44BB28FEB6A2}"/>
    <dgm:cxn modelId="{79E6556E-ABC3-4CDC-9612-D4712EC7CB1F}" type="presOf" srcId="{15E43D36-08DD-4A54-8E87-9CF3D8EA5B26}" destId="{52715165-8A44-4C41-8A21-9B76C2AC43F1}" srcOrd="1" destOrd="0" presId="urn:microsoft.com/office/officeart/2005/8/layout/process1"/>
    <dgm:cxn modelId="{8560E67F-5FD7-451E-9748-62F29143DD58}" srcId="{DACB6AE1-BDDE-4A06-807E-77ED4F12473C}" destId="{AB2EB7DC-BB74-4C3C-9ECA-613B05A3AA7B}" srcOrd="2" destOrd="0" parTransId="{A36A14EF-04FB-4717-87BA-CB8C20352421}" sibTransId="{44B697D6-199E-4848-BB5B-FA5F1D6B95DD}"/>
    <dgm:cxn modelId="{6827F588-ABA0-456F-80CB-78793C8F631C}" srcId="{DACB6AE1-BDDE-4A06-807E-77ED4F12473C}" destId="{42AECD80-70F1-45BA-A83E-D85D430D2461}" srcOrd="1" destOrd="0" parTransId="{89317425-4D24-4B11-8BEE-65C738F6B4C0}" sibTransId="{15E43D36-08DD-4A54-8E87-9CF3D8EA5B26}"/>
    <dgm:cxn modelId="{58AB0F92-0B29-4425-93BE-2FB75D1269E7}" type="presOf" srcId="{0F2F43FE-D278-4F5D-B7F7-FB0E701217CC}" destId="{5DF304C5-7537-4973-BF84-02C696C1DF1A}" srcOrd="0" destOrd="0" presId="urn:microsoft.com/office/officeart/2005/8/layout/process1"/>
    <dgm:cxn modelId="{D09B2595-A77A-4F7C-9285-AF5297E845C4}" type="presOf" srcId="{CE12470E-47CB-4844-91B8-F72260E77560}" destId="{F61F69DD-125A-41EB-978A-FD7B676E94EE}" srcOrd="0" destOrd="0" presId="urn:microsoft.com/office/officeart/2005/8/layout/process1"/>
    <dgm:cxn modelId="{31B22598-670C-4669-AF42-AFAF272453AE}" type="presOf" srcId="{01869091-857D-4768-8F0D-AF151FABFB91}" destId="{FBDADD3A-413B-43E6-B4A9-01835B4232C9}" srcOrd="0" destOrd="0" presId="urn:microsoft.com/office/officeart/2005/8/layout/process1"/>
    <dgm:cxn modelId="{E870459E-3663-4184-974D-E3019715878A}" type="presOf" srcId="{F902E994-D0E1-4634-B629-49D75065DA7B}" destId="{9518D5C0-BFB7-4544-A3B9-28E05C65814C}" srcOrd="1" destOrd="0" presId="urn:microsoft.com/office/officeart/2005/8/layout/process1"/>
    <dgm:cxn modelId="{AF77BAA6-7554-4384-B91E-7AC3D47BB425}" type="presOf" srcId="{F4F15E41-EF47-41F0-BC6C-38F7F7892BBA}" destId="{8E341B16-7C47-42C8-8EF6-CA64DE16BE90}" srcOrd="0" destOrd="0" presId="urn:microsoft.com/office/officeart/2005/8/layout/process1"/>
    <dgm:cxn modelId="{0A96C9B1-16F2-4122-9914-1277687F14E9}" type="presOf" srcId="{7DB9D28F-86C7-4BDC-A112-92E3FD974F9E}" destId="{DB8169DB-D85F-42B0-BFE1-B1AE6DC51B1B}" srcOrd="0" destOrd="0" presId="urn:microsoft.com/office/officeart/2005/8/layout/process1"/>
    <dgm:cxn modelId="{4F8E39BF-FAB3-4E50-B978-5150918F7C2A}" srcId="{DACB6AE1-BDDE-4A06-807E-77ED4F12473C}" destId="{C4EE4215-9E2C-4068-B4B3-6B4446CA145E}" srcOrd="5" destOrd="0" parTransId="{265AF655-2B57-494E-A60C-4EEE2F140A8D}" sibTransId="{F902E994-D0E1-4634-B629-49D75065DA7B}"/>
    <dgm:cxn modelId="{CBC3A4C1-F11C-449E-9876-07B0A00463A4}" type="presOf" srcId="{F4F15E41-EF47-41F0-BC6C-38F7F7892BBA}" destId="{2BC99351-C4F2-4FA8-A06A-A213F259197D}" srcOrd="1" destOrd="0" presId="urn:microsoft.com/office/officeart/2005/8/layout/process1"/>
    <dgm:cxn modelId="{505358C7-AD1E-48A2-8E9C-A11F5843AD82}" type="presOf" srcId="{15E43D36-08DD-4A54-8E87-9CF3D8EA5B26}" destId="{3D8901B9-3F28-40BE-BD00-ACA5C141D112}" srcOrd="0" destOrd="0" presId="urn:microsoft.com/office/officeart/2005/8/layout/process1"/>
    <dgm:cxn modelId="{69FAEED7-C589-4661-9937-143977507959}" type="presOf" srcId="{089B6014-0761-4993-AC13-DA0434E5A8DA}" destId="{5CEDB16D-2A91-476C-BD2B-FB3C97D8DF75}" srcOrd="0" destOrd="0" presId="urn:microsoft.com/office/officeart/2005/8/layout/process1"/>
    <dgm:cxn modelId="{16A1A2D8-E979-4543-B169-D2FB26C359A1}" type="presOf" srcId="{DACB6AE1-BDDE-4A06-807E-77ED4F12473C}" destId="{D19FF451-5C39-4D89-995D-71E6DB007F4B}" srcOrd="0" destOrd="0" presId="urn:microsoft.com/office/officeart/2005/8/layout/process1"/>
    <dgm:cxn modelId="{008A2DE3-FC78-4ED0-AA04-07D3B279EA3D}" srcId="{DACB6AE1-BDDE-4A06-807E-77ED4F12473C}" destId="{01869091-857D-4768-8F0D-AF151FABFB91}" srcOrd="3" destOrd="0" parTransId="{4A9E0526-B627-42DC-9939-0BD816F92D63}" sibTransId="{D27324B9-AFE2-473A-BF0C-2196F9F57872}"/>
    <dgm:cxn modelId="{D76421E4-A831-4990-9EE9-FCDC813AF661}" type="presOf" srcId="{D27324B9-AFE2-473A-BF0C-2196F9F57872}" destId="{F2E5D2CE-27FF-4981-ACE7-818A6B7DD067}" srcOrd="0" destOrd="0" presId="urn:microsoft.com/office/officeart/2005/8/layout/process1"/>
    <dgm:cxn modelId="{6B0D2AE6-B815-4B22-BE77-27EBE629A84D}" type="presOf" srcId="{AB2EB7DC-BB74-4C3C-9ECA-613B05A3AA7B}" destId="{2CFAFDDC-1889-4F78-A9F3-876F12AC9DFD}" srcOrd="0" destOrd="0" presId="urn:microsoft.com/office/officeart/2005/8/layout/process1"/>
    <dgm:cxn modelId="{F1BDAFED-AC47-418E-BBD8-943D1CB69BDD}" type="presOf" srcId="{F902E994-D0E1-4634-B629-49D75065DA7B}" destId="{A4DBAF8B-6405-41D6-99B0-5C33D5235914}" srcOrd="0" destOrd="0" presId="urn:microsoft.com/office/officeart/2005/8/layout/process1"/>
    <dgm:cxn modelId="{88EC650A-4831-45D1-8370-60BE87506B33}" type="presParOf" srcId="{D19FF451-5C39-4D89-995D-71E6DB007F4B}" destId="{DB8169DB-D85F-42B0-BFE1-B1AE6DC51B1B}" srcOrd="0" destOrd="0" presId="urn:microsoft.com/office/officeart/2005/8/layout/process1"/>
    <dgm:cxn modelId="{5C874F22-6A7F-4B28-B146-55BC09B4AB2C}" type="presParOf" srcId="{D19FF451-5C39-4D89-995D-71E6DB007F4B}" destId="{5DF304C5-7537-4973-BF84-02C696C1DF1A}" srcOrd="1" destOrd="0" presId="urn:microsoft.com/office/officeart/2005/8/layout/process1"/>
    <dgm:cxn modelId="{0BE46EBC-7111-4850-8682-C0E96CAFB78C}" type="presParOf" srcId="{5DF304C5-7537-4973-BF84-02C696C1DF1A}" destId="{32D607CA-F318-411D-A2AC-AB070D1D13C6}" srcOrd="0" destOrd="0" presId="urn:microsoft.com/office/officeart/2005/8/layout/process1"/>
    <dgm:cxn modelId="{9D847CBF-451E-46AD-8A21-41E8FBEA1E1C}" type="presParOf" srcId="{D19FF451-5C39-4D89-995D-71E6DB007F4B}" destId="{4E6852C4-A156-4FBB-83D9-3955CB667651}" srcOrd="2" destOrd="0" presId="urn:microsoft.com/office/officeart/2005/8/layout/process1"/>
    <dgm:cxn modelId="{C6878A35-AB1B-4FD0-8D0E-2B778B072461}" type="presParOf" srcId="{D19FF451-5C39-4D89-995D-71E6DB007F4B}" destId="{3D8901B9-3F28-40BE-BD00-ACA5C141D112}" srcOrd="3" destOrd="0" presId="urn:microsoft.com/office/officeart/2005/8/layout/process1"/>
    <dgm:cxn modelId="{CE1A5BAE-A8CB-40CF-BDF5-00A86C8A7194}" type="presParOf" srcId="{3D8901B9-3F28-40BE-BD00-ACA5C141D112}" destId="{52715165-8A44-4C41-8A21-9B76C2AC43F1}" srcOrd="0" destOrd="0" presId="urn:microsoft.com/office/officeart/2005/8/layout/process1"/>
    <dgm:cxn modelId="{8D80DB74-20E1-4653-A8B4-0F24B395A6AD}" type="presParOf" srcId="{D19FF451-5C39-4D89-995D-71E6DB007F4B}" destId="{2CFAFDDC-1889-4F78-A9F3-876F12AC9DFD}" srcOrd="4" destOrd="0" presId="urn:microsoft.com/office/officeart/2005/8/layout/process1"/>
    <dgm:cxn modelId="{500B625F-308E-4D10-94B6-A564BDF76F10}" type="presParOf" srcId="{D19FF451-5C39-4D89-995D-71E6DB007F4B}" destId="{5BC90264-0048-45B6-97B8-8D542A39A24A}" srcOrd="5" destOrd="0" presId="urn:microsoft.com/office/officeart/2005/8/layout/process1"/>
    <dgm:cxn modelId="{548551E0-D2B9-40F6-B2FD-31EF30F70EB9}" type="presParOf" srcId="{5BC90264-0048-45B6-97B8-8D542A39A24A}" destId="{0593BA3B-49BF-48D1-B069-EA85832D2911}" srcOrd="0" destOrd="0" presId="urn:microsoft.com/office/officeart/2005/8/layout/process1"/>
    <dgm:cxn modelId="{35ABE879-C591-4A17-87A0-62DBA671AB35}" type="presParOf" srcId="{D19FF451-5C39-4D89-995D-71E6DB007F4B}" destId="{FBDADD3A-413B-43E6-B4A9-01835B4232C9}" srcOrd="6" destOrd="0" presId="urn:microsoft.com/office/officeart/2005/8/layout/process1"/>
    <dgm:cxn modelId="{67AA3090-BD1F-413F-A8D9-79B9DA2528B7}" type="presParOf" srcId="{D19FF451-5C39-4D89-995D-71E6DB007F4B}" destId="{F2E5D2CE-27FF-4981-ACE7-818A6B7DD067}" srcOrd="7" destOrd="0" presId="urn:microsoft.com/office/officeart/2005/8/layout/process1"/>
    <dgm:cxn modelId="{D0532EF2-A5FC-4AB3-A15C-5DBB10A4024F}" type="presParOf" srcId="{F2E5D2CE-27FF-4981-ACE7-818A6B7DD067}" destId="{C75CBCEC-A97A-4BE2-9D0D-6BD45CE42C21}" srcOrd="0" destOrd="0" presId="urn:microsoft.com/office/officeart/2005/8/layout/process1"/>
    <dgm:cxn modelId="{2B0887C5-FA56-4A11-83FE-D033B5AC8AA3}" type="presParOf" srcId="{D19FF451-5C39-4D89-995D-71E6DB007F4B}" destId="{F61F69DD-125A-41EB-978A-FD7B676E94EE}" srcOrd="8" destOrd="0" presId="urn:microsoft.com/office/officeart/2005/8/layout/process1"/>
    <dgm:cxn modelId="{0C8574B1-D2B9-4C44-B496-BFA6CAABC606}" type="presParOf" srcId="{D19FF451-5C39-4D89-995D-71E6DB007F4B}" destId="{90816126-0A6C-4B37-B77F-DA039714AEDA}" srcOrd="9" destOrd="0" presId="urn:microsoft.com/office/officeart/2005/8/layout/process1"/>
    <dgm:cxn modelId="{E9A6ABC1-45CF-4C31-BCBB-A62A52A1ED2F}" type="presParOf" srcId="{90816126-0A6C-4B37-B77F-DA039714AEDA}" destId="{35408908-0BD6-4A97-9028-076F70EC38D1}" srcOrd="0" destOrd="0" presId="urn:microsoft.com/office/officeart/2005/8/layout/process1"/>
    <dgm:cxn modelId="{8EDE35FB-4FED-4A92-8358-C206C130BFB6}" type="presParOf" srcId="{D19FF451-5C39-4D89-995D-71E6DB007F4B}" destId="{E47AF00E-F53A-455F-A2FE-71098D838F94}" srcOrd="10" destOrd="0" presId="urn:microsoft.com/office/officeart/2005/8/layout/process1"/>
    <dgm:cxn modelId="{508DA0A0-F040-4524-B28D-60B100B3350B}" type="presParOf" srcId="{D19FF451-5C39-4D89-995D-71E6DB007F4B}" destId="{A4DBAF8B-6405-41D6-99B0-5C33D5235914}" srcOrd="11" destOrd="0" presId="urn:microsoft.com/office/officeart/2005/8/layout/process1"/>
    <dgm:cxn modelId="{2E6E5862-F1C7-43D8-A255-4EEA387B41B0}" type="presParOf" srcId="{A4DBAF8B-6405-41D6-99B0-5C33D5235914}" destId="{9518D5C0-BFB7-4544-A3B9-28E05C65814C}" srcOrd="0" destOrd="0" presId="urn:microsoft.com/office/officeart/2005/8/layout/process1"/>
    <dgm:cxn modelId="{C4BFBF5F-F2D8-4742-AE90-60155CB19866}" type="presParOf" srcId="{D19FF451-5C39-4D89-995D-71E6DB007F4B}" destId="{8E0F25A5-BEFB-4D28-AE4D-896E19C2451B}" srcOrd="12" destOrd="0" presId="urn:microsoft.com/office/officeart/2005/8/layout/process1"/>
    <dgm:cxn modelId="{23F0E7B2-80DB-484C-800B-FA792DEF1DF6}" type="presParOf" srcId="{D19FF451-5C39-4D89-995D-71E6DB007F4B}" destId="{8E341B16-7C47-42C8-8EF6-CA64DE16BE90}" srcOrd="13" destOrd="0" presId="urn:microsoft.com/office/officeart/2005/8/layout/process1"/>
    <dgm:cxn modelId="{9D0ED94A-8728-4462-914C-01C0889269EF}" type="presParOf" srcId="{8E341B16-7C47-42C8-8EF6-CA64DE16BE90}" destId="{2BC99351-C4F2-4FA8-A06A-A213F259197D}" srcOrd="0" destOrd="0" presId="urn:microsoft.com/office/officeart/2005/8/layout/process1"/>
    <dgm:cxn modelId="{16442F81-A3D7-4B44-A999-7765B2865E24}" type="presParOf" srcId="{D19FF451-5C39-4D89-995D-71E6DB007F4B}" destId="{5CEDB16D-2A91-476C-BD2B-FB3C97D8DF75}" srcOrd="14" destOrd="0" presId="urn:microsoft.com/office/officeart/2005/8/layout/process1"/>
  </dgm:cxnLst>
  <dgm:bg/>
  <dgm:whole/>
  <dgm:extLst>
    <a:ext uri="http://schemas.microsoft.com/office/drawing/2008/diagram">
      <dsp:dataModelExt xmlns:dsp="http://schemas.microsoft.com/office/drawing/2008/diagram" minVer="http://schemas.openxmlformats.org/drawingml/2006/diagram" relId="rId25"/>
    </a:ext>
  </dgm:extLst>
</dgm:dataModel>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8169DB-D85F-42B0-BFE1-B1AE6DC51B1B}">
      <dsp:nvSpPr>
        <dsp:cNvPr id="0" name=""/>
        <dsp:cNvSpPr/>
      </dsp:nvSpPr>
      <dsp:spPr>
        <a:xfrm>
          <a:off x="8585"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kern="1200"/>
            <a:t>Convergys                                S</a:t>
          </a:r>
          <a:r>
            <a:rPr lang="en-GB" sz="900" b="1" kern="1200"/>
            <a:t>ept 2006</a:t>
          </a:r>
          <a:r>
            <a:rPr lang="en-GB" sz="900" b="0" kern="1200"/>
            <a:t> </a:t>
          </a:r>
          <a:r>
            <a:rPr lang="en-GB" sz="900" b="1" kern="1200"/>
            <a:t>– Jul 2012</a:t>
          </a:r>
          <a:r>
            <a:rPr lang="en-GB" sz="900" b="0" i="1" kern="1200"/>
            <a:t> </a:t>
          </a:r>
          <a:endParaRPr lang="en-IN" sz="900" kern="1200"/>
        </a:p>
      </dsp:txBody>
      <dsp:txXfrm>
        <a:off x="27617" y="19032"/>
        <a:ext cx="611730" cy="806486"/>
      </dsp:txXfrm>
    </dsp:sp>
    <dsp:sp modelId="{5DF304C5-7537-4973-BF84-02C696C1DF1A}">
      <dsp:nvSpPr>
        <dsp:cNvPr id="0" name=""/>
        <dsp:cNvSpPr/>
      </dsp:nvSpPr>
      <dsp:spPr>
        <a:xfrm>
          <a:off x="722671" y="341700"/>
          <a:ext cx="136297"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IN" sz="600" kern="1200"/>
        </a:p>
      </dsp:txBody>
      <dsp:txXfrm>
        <a:off x="722671" y="373930"/>
        <a:ext cx="95408" cy="96689"/>
      </dsp:txXfrm>
    </dsp:sp>
    <dsp:sp modelId="{4E6852C4-A156-4FBB-83D9-3955CB667651}">
      <dsp:nvSpPr>
        <dsp:cNvPr id="0" name=""/>
        <dsp:cNvSpPr/>
      </dsp:nvSpPr>
      <dsp:spPr>
        <a:xfrm>
          <a:off x="915545"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kern="1200"/>
            <a:t>Navisite                                       </a:t>
          </a:r>
          <a:r>
            <a:rPr lang="en-GB" sz="900" b="1" kern="1200"/>
            <a:t>Jul 2012</a:t>
          </a:r>
          <a:r>
            <a:rPr lang="en-GB" sz="900" b="0" kern="1200"/>
            <a:t> </a:t>
          </a:r>
          <a:r>
            <a:rPr lang="en-GB" sz="900" b="1" kern="1200"/>
            <a:t>– Apr 2014</a:t>
          </a:r>
          <a:r>
            <a:rPr lang="en-GB" sz="900" b="0" i="1" kern="1200"/>
            <a:t> </a:t>
          </a:r>
          <a:endParaRPr lang="en-IN" sz="900" kern="1200"/>
        </a:p>
      </dsp:txBody>
      <dsp:txXfrm>
        <a:off x="934577" y="19032"/>
        <a:ext cx="611730" cy="806486"/>
      </dsp:txXfrm>
    </dsp:sp>
    <dsp:sp modelId="{3D8901B9-3F28-40BE-BD00-ACA5C141D112}">
      <dsp:nvSpPr>
        <dsp:cNvPr id="0" name=""/>
        <dsp:cNvSpPr/>
      </dsp:nvSpPr>
      <dsp:spPr>
        <a:xfrm>
          <a:off x="1630319"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GB" sz="600" kern="1200"/>
        </a:p>
      </dsp:txBody>
      <dsp:txXfrm>
        <a:off x="1630319" y="373930"/>
        <a:ext cx="96429" cy="96689"/>
      </dsp:txXfrm>
    </dsp:sp>
    <dsp:sp modelId="{2CFAFDDC-1889-4F78-A9F3-876F12AC9DFD}">
      <dsp:nvSpPr>
        <dsp:cNvPr id="0" name=""/>
        <dsp:cNvSpPr/>
      </dsp:nvSpPr>
      <dsp:spPr>
        <a:xfrm>
          <a:off x="1825258"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kern="1200"/>
            <a:t>HCL Technologies                               </a:t>
          </a:r>
          <a:r>
            <a:rPr lang="fr-FR" sz="900" b="1" kern="1200"/>
            <a:t>Apr 2014 – Feb 2017 </a:t>
          </a:r>
          <a:endParaRPr lang="en-IN" sz="900" kern="1200"/>
        </a:p>
      </dsp:txBody>
      <dsp:txXfrm>
        <a:off x="1844290" y="19032"/>
        <a:ext cx="611730" cy="806486"/>
      </dsp:txXfrm>
    </dsp:sp>
    <dsp:sp modelId="{5BC90264-0048-45B6-97B8-8D542A39A24A}">
      <dsp:nvSpPr>
        <dsp:cNvPr id="0" name=""/>
        <dsp:cNvSpPr/>
      </dsp:nvSpPr>
      <dsp:spPr>
        <a:xfrm>
          <a:off x="2540032"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IN" sz="600" kern="1200"/>
        </a:p>
      </dsp:txBody>
      <dsp:txXfrm>
        <a:off x="2540032" y="373930"/>
        <a:ext cx="96429" cy="96689"/>
      </dsp:txXfrm>
    </dsp:sp>
    <dsp:sp modelId="{FBDADD3A-413B-43E6-B4A9-01835B4232C9}">
      <dsp:nvSpPr>
        <dsp:cNvPr id="0" name=""/>
        <dsp:cNvSpPr/>
      </dsp:nvSpPr>
      <dsp:spPr>
        <a:xfrm>
          <a:off x="2734971"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IN" sz="900" kern="1200"/>
            <a:t>IBM India                                    </a:t>
          </a:r>
          <a:r>
            <a:rPr lang="en-GB" sz="900" b="1" kern="1200"/>
            <a:t>Feb 2017</a:t>
          </a:r>
          <a:r>
            <a:rPr lang="en-GB" sz="900" b="0" kern="1200"/>
            <a:t> </a:t>
          </a:r>
          <a:r>
            <a:rPr lang="en-GB" sz="900" b="1" kern="1200"/>
            <a:t>– Jun 2019</a:t>
          </a:r>
          <a:r>
            <a:rPr lang="en-GB" sz="900" b="0" i="1" kern="1200"/>
            <a:t> </a:t>
          </a:r>
          <a:endParaRPr lang="en-IN" sz="900" kern="1200"/>
        </a:p>
      </dsp:txBody>
      <dsp:txXfrm>
        <a:off x="2754003" y="19032"/>
        <a:ext cx="611730" cy="806486"/>
      </dsp:txXfrm>
    </dsp:sp>
    <dsp:sp modelId="{F2E5D2CE-27FF-4981-ACE7-818A6B7DD067}">
      <dsp:nvSpPr>
        <dsp:cNvPr id="0" name=""/>
        <dsp:cNvSpPr/>
      </dsp:nvSpPr>
      <dsp:spPr>
        <a:xfrm>
          <a:off x="3449745"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IN" sz="600" kern="1200"/>
        </a:p>
      </dsp:txBody>
      <dsp:txXfrm>
        <a:off x="3449745" y="373930"/>
        <a:ext cx="96429" cy="96689"/>
      </dsp:txXfrm>
    </dsp:sp>
    <dsp:sp modelId="{F61F69DD-125A-41EB-978A-FD7B676E94EE}">
      <dsp:nvSpPr>
        <dsp:cNvPr id="0" name=""/>
        <dsp:cNvSpPr/>
      </dsp:nvSpPr>
      <dsp:spPr>
        <a:xfrm>
          <a:off x="3644683"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GB" sz="900" i="1" kern="1200"/>
            <a:t>Fareportal India        </a:t>
          </a:r>
          <a:r>
            <a:rPr lang="en-GB" sz="900" b="1" kern="1200"/>
            <a:t>Jun 2019</a:t>
          </a:r>
          <a:r>
            <a:rPr lang="en-GB" sz="900" b="0" kern="1200"/>
            <a:t> </a:t>
          </a:r>
          <a:r>
            <a:rPr lang="en-GB" sz="900" b="1" kern="1200"/>
            <a:t>– Aug 2020</a:t>
          </a:r>
          <a:r>
            <a:rPr lang="en-GB" sz="900" b="0" i="1" kern="1200"/>
            <a:t> </a:t>
          </a:r>
          <a:endParaRPr lang="en-IN" sz="900" kern="1200"/>
        </a:p>
      </dsp:txBody>
      <dsp:txXfrm>
        <a:off x="3663715" y="19032"/>
        <a:ext cx="611730" cy="806486"/>
      </dsp:txXfrm>
    </dsp:sp>
    <dsp:sp modelId="{90816126-0A6C-4B37-B77F-DA039714AEDA}">
      <dsp:nvSpPr>
        <dsp:cNvPr id="0" name=""/>
        <dsp:cNvSpPr/>
      </dsp:nvSpPr>
      <dsp:spPr>
        <a:xfrm>
          <a:off x="4359458"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GB" sz="600" kern="1200"/>
        </a:p>
      </dsp:txBody>
      <dsp:txXfrm>
        <a:off x="4359458" y="373930"/>
        <a:ext cx="96429" cy="96689"/>
      </dsp:txXfrm>
    </dsp:sp>
    <dsp:sp modelId="{E47AF00E-F53A-455F-A2FE-71098D838F94}">
      <dsp:nvSpPr>
        <dsp:cNvPr id="0" name=""/>
        <dsp:cNvSpPr/>
      </dsp:nvSpPr>
      <dsp:spPr>
        <a:xfrm>
          <a:off x="4554396"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GB" sz="900" i="1" kern="1200"/>
            <a:t>Dhani Stocks Ltd. (Indiabulls Group)                                  </a:t>
          </a:r>
          <a:r>
            <a:rPr lang="en-GB" sz="900" b="1" kern="1200"/>
            <a:t>Aug 2020</a:t>
          </a:r>
          <a:r>
            <a:rPr lang="en-GB" sz="900" b="0" kern="1200"/>
            <a:t> </a:t>
          </a:r>
          <a:r>
            <a:rPr lang="en-GB" sz="900" b="1" kern="1200"/>
            <a:t>– May 2022</a:t>
          </a:r>
          <a:r>
            <a:rPr lang="en-GB" sz="900" b="0" i="1" kern="1200"/>
            <a:t> </a:t>
          </a:r>
          <a:r>
            <a:rPr lang="en-GB" sz="900" i="1" kern="1200"/>
            <a:t> </a:t>
          </a:r>
          <a:endParaRPr lang="en-IN" sz="900" kern="1200"/>
        </a:p>
      </dsp:txBody>
      <dsp:txXfrm>
        <a:off x="4573428" y="19032"/>
        <a:ext cx="611730" cy="806486"/>
      </dsp:txXfrm>
    </dsp:sp>
    <dsp:sp modelId="{A4DBAF8B-6405-41D6-99B0-5C33D5235914}">
      <dsp:nvSpPr>
        <dsp:cNvPr id="0" name=""/>
        <dsp:cNvSpPr/>
      </dsp:nvSpPr>
      <dsp:spPr>
        <a:xfrm>
          <a:off x="5269171"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GB" sz="600" kern="1200"/>
        </a:p>
      </dsp:txBody>
      <dsp:txXfrm>
        <a:off x="5269171" y="373930"/>
        <a:ext cx="96429" cy="96689"/>
      </dsp:txXfrm>
    </dsp:sp>
    <dsp:sp modelId="{8E0F25A5-BEFB-4D28-AE4D-896E19C2451B}">
      <dsp:nvSpPr>
        <dsp:cNvPr id="0" name=""/>
        <dsp:cNvSpPr/>
      </dsp:nvSpPr>
      <dsp:spPr>
        <a:xfrm>
          <a:off x="5464109"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GB" sz="900" i="1" kern="1200"/>
            <a:t>Innovation Technology By Design (ITBD)                          </a:t>
          </a:r>
          <a:r>
            <a:rPr lang="en-GB" sz="900" b="1" kern="1200"/>
            <a:t>May 2022 – May-2023</a:t>
          </a:r>
          <a:r>
            <a:rPr lang="en-GB" sz="900" b="0" i="1" kern="1200"/>
            <a:t> </a:t>
          </a:r>
          <a:endParaRPr lang="en-IN" sz="900" kern="1200"/>
        </a:p>
      </dsp:txBody>
      <dsp:txXfrm>
        <a:off x="5483141" y="19032"/>
        <a:ext cx="611730" cy="806486"/>
      </dsp:txXfrm>
    </dsp:sp>
    <dsp:sp modelId="{8E341B16-7C47-42C8-8EF6-CA64DE16BE90}">
      <dsp:nvSpPr>
        <dsp:cNvPr id="0" name=""/>
        <dsp:cNvSpPr/>
      </dsp:nvSpPr>
      <dsp:spPr>
        <a:xfrm>
          <a:off x="6178884" y="341700"/>
          <a:ext cx="137756" cy="1611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lstStyle/>
        <a:p>
          <a:pPr marL="0" lvl="0" indent="0" algn="ctr" defTabSz="266700">
            <a:lnSpc>
              <a:spcPct val="90000"/>
            </a:lnSpc>
            <a:spcBef>
              <a:spcPct val="0"/>
            </a:spcBef>
            <a:spcAft>
              <a:spcPct val="35000"/>
            </a:spcAft>
            <a:buNone/>
          </a:pPr>
          <a:endParaRPr lang="en-GB" sz="600" kern="1200"/>
        </a:p>
      </dsp:txBody>
      <dsp:txXfrm>
        <a:off x="6178884" y="373930"/>
        <a:ext cx="96429" cy="96689"/>
      </dsp:txXfrm>
    </dsp:sp>
    <dsp:sp modelId="{5CEDB16D-2A91-476C-BD2B-FB3C97D8DF75}">
      <dsp:nvSpPr>
        <dsp:cNvPr id="0" name=""/>
        <dsp:cNvSpPr/>
      </dsp:nvSpPr>
      <dsp:spPr>
        <a:xfrm>
          <a:off x="6373822" y="0"/>
          <a:ext cx="649794" cy="844550"/>
        </a:xfrm>
        <a:prstGeom prst="roundRect">
          <a:avLst>
            <a:gd name="adj" fmla="val 10000"/>
          </a:avLst>
        </a:prstGeom>
        <a:solidFill>
          <a:schemeClr val="accent1">
            <a:hueOff val="0"/>
            <a:satOff val="0"/>
            <a:lumOff val="0"/>
            <a:alphaOff val="0"/>
          </a:schemeClr>
        </a:solidFill>
        <a:ln w="25400">
          <a:solidFill>
            <a:schemeClr val="lt1">
              <a:hueOff val="0"/>
              <a:satOff val="0"/>
              <a:lumOff val="0"/>
              <a:alphaOff val="0"/>
            </a:schemeClr>
          </a:solidFill>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lstStyle/>
        <a:p>
          <a:pPr marL="0" lvl="0" indent="0" algn="ctr" defTabSz="400050">
            <a:lnSpc>
              <a:spcPct val="90000"/>
            </a:lnSpc>
            <a:spcBef>
              <a:spcPct val="0"/>
            </a:spcBef>
            <a:spcAft>
              <a:spcPct val="35000"/>
            </a:spcAft>
            <a:buNone/>
          </a:pPr>
          <a:r>
            <a:rPr lang="en-GB" sz="900" i="1" kern="1200"/>
            <a:t>Atomic North Pvt. Ltd., </a:t>
          </a:r>
          <a:r>
            <a:rPr lang="en-IN" sz="900" kern="1200"/>
            <a:t>          </a:t>
          </a:r>
          <a:r>
            <a:rPr lang="en-GB" sz="900" b="1" kern="1200"/>
            <a:t>Jul 2023 </a:t>
          </a:r>
          <a:r>
            <a:rPr lang="en-IN" sz="900" b="1" kern="1200"/>
            <a:t> - Mar 2026</a:t>
          </a:r>
        </a:p>
      </dsp:txBody>
      <dsp:txXfrm>
        <a:off x="6392854" y="19032"/>
        <a:ext cx="611730" cy="806486"/>
      </dsp:txXfrm>
    </dsp:sp>
  </dsp:spTree>
</dsp:drawing>
</file>

<file path=word/diagrams/layout2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val="norm"/>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B45AFB3F34D944A45B31DCA555FC61" ma:contentTypeVersion="17" ma:contentTypeDescription="Create a new document." ma:contentTypeScope="" ma:versionID="9e80f28e346e24862f20c4116c79089d">
  <xsd:schema xmlns:xsd="http://www.w3.org/2001/XMLSchema" xmlns:xs="http://www.w3.org/2001/XMLSchema" xmlns:p="http://schemas.microsoft.com/office/2006/metadata/properties" xmlns:ns3="ca669ec3-64eb-423d-84b2-40720a032d7c" xmlns:ns4="553d254b-3f2b-4f41-9b68-99746d0fe4ff" targetNamespace="http://schemas.microsoft.com/office/2006/metadata/properties" ma:root="true" ma:fieldsID="ebd74f6f9a0e868744a1800d31b7bd5e" ns3:_="" ns4:_="">
    <xsd:import namespace="ca669ec3-64eb-423d-84b2-40720a032d7c"/>
    <xsd:import namespace="553d254b-3f2b-4f41-9b68-99746d0fe4f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69ec3-64eb-423d-84b2-40720a032d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3d254b-3f2b-4f41-9b68-99746d0fe4f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a669ec3-64eb-423d-84b2-40720a032d7c" xsi:nil="true"/>
  </documentManagement>
</p:properties>
</file>

<file path=customXml/itemProps1.xml><?xml version="1.0" encoding="utf-8"?>
<ds:datastoreItem xmlns:ds="http://schemas.openxmlformats.org/officeDocument/2006/customXml" ds:itemID="{3E1BC614-3137-4160-ABD8-942F8DFC22F2}">
  <ds:schemaRefs>
    <ds:schemaRef ds:uri="http://schemas.openxmlformats.org/officeDocument/2006/bibliography"/>
  </ds:schemaRefs>
</ds:datastoreItem>
</file>

<file path=customXml/itemProps2.xml><?xml version="1.0" encoding="utf-8"?>
<ds:datastoreItem xmlns:ds="http://schemas.openxmlformats.org/officeDocument/2006/customXml" ds:itemID="{07012DF7-01C6-43C0-85F2-50204D5D6394}">
  <ds:schemaRefs>
    <ds:schemaRef ds:uri="http://schemas.microsoft.com/sharepoint/v3/contenttype/forms"/>
  </ds:schemaRefs>
</ds:datastoreItem>
</file>

<file path=customXml/itemProps3.xml><?xml version="1.0" encoding="utf-8"?>
<ds:datastoreItem xmlns:ds="http://schemas.openxmlformats.org/officeDocument/2006/customXml" ds:itemID="{E34BE674-A6EE-4D41-A98E-E004CE123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69ec3-64eb-423d-84b2-40720a032d7c"/>
    <ds:schemaRef ds:uri="553d254b-3f2b-4f41-9b68-99746d0fe4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CED143-43B7-4743-9676-8B9F552383E3}">
  <ds:schemaRefs>
    <ds:schemaRef ds:uri="http://schemas.microsoft.com/office/2006/metadata/properties"/>
    <ds:schemaRef ds:uri="http://schemas.microsoft.com/office/infopath/2007/PartnerControls"/>
    <ds:schemaRef ds:uri="ca669ec3-64eb-423d-84b2-40720a032d7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LibreOffice/6.0.7.3$Linux_X86_64 LibreOffice_project/00m0$Build-3</Application>
  <Pages>6</Pages>
  <Words>2810</Words>
  <Characters>19301</Characters>
  <CharactersWithSpaces>23977</CharactersWithSpaces>
  <Paragraphs>229</Paragraphs>
  <Company>SCCM2016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2026-02-10T20:01:00Z</dcterms:created>
  <dc:creator>Preeti Arora</dc:creator>
  <dc:description/>
  <dc:language>en-IN</dc:language>
  <cp:lastModifiedBy/>
  <cp:lastPrinted>2025-12-24T11:10:00Z</cp:lastPrinted>
  <dcterms:modified xsi:type="dcterms:W3CDTF">2026-07-17T14:17:28Z</dcterms:modified>
  <cp:revision>176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SCCM2016</vt:lpwstr>
  </property>
  <property fmtid="{D5CDD505-2E9C-101B-9397-08002B2CF9AE}" pid="4" name="ContentTypeId">
    <vt:lpwstr>0x010100D9B45AFB3F34D944A45B31DCA555FC61</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