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" w:after="20"/>
        <w:ind w:left="0" w:hanging="0"/>
        <w:contextualSpacing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 w:val="false"/>
          <w:i w:val="false"/>
          <w:sz w:val="22"/>
          <w:u w:val="none"/>
        </w:rPr>
      </w:r>
    </w:p>
    <w:p>
      <w:pPr>
        <w:pStyle w:val="TextBody"/>
        <w:rPr>
          <w:b/>
          <w:b/>
          <w:sz w:val="38"/>
          <w:szCs w:val="22"/>
        </w:rPr>
      </w:pPr>
      <w:r>
        <w:rPr>
          <w:b/>
          <w:sz w:val="38"/>
          <w:szCs w:val="22"/>
        </w:rPr>
        <w:t>Ishmeet Singh Khanuja</w:t>
      </w:r>
    </w:p>
    <w:p>
      <w:pPr>
        <w:pStyle w:val="TextBody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AI Engineer &amp; Lead Software Engineer</w:t>
      </w:r>
    </w:p>
    <w:p>
      <w:pPr>
        <w:pStyle w:val="TextBody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 xml:space="preserve">Indore, Madhya Pradesh, India | +91 9009333903 | </w:t>
      </w:r>
      <w:r>
        <w:rPr>
          <w:rFonts w:ascii="Calibri" w:hAnsi="Calibri"/>
          <w:b w:val="false"/>
          <w:i w:val="false"/>
          <w:sz w:val="22"/>
          <w:u w:val="none"/>
        </w:rPr>
        <w:t>ishmeetaws@gmail.com</w:t>
      </w:r>
    </w:p>
    <w:p>
      <w:pPr>
        <w:pStyle w:val="Heading2"/>
        <w:spacing w:before="200" w:after="283"/>
        <w:ind w:left="0" w:hanging="0"/>
        <w:rPr>
          <w:u w:val="single"/>
        </w:rPr>
      </w:pPr>
      <w:r>
        <w:rPr>
          <w:u w:val="single"/>
        </w:rPr>
        <w:t>Professional Summary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Results-driven AI Engineer and Lead Software Engineer with over 7+ years of hands-on experience with 3+ years specializing in Large Language Models (LLMs), GenAI, and automated workflow pipelines.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Proven expertise in architecting and deploying high-parameter production models, including Meta Llama (70B) and multi-modal vision frameworks (Llama 3.2 Vision, ColQwen2).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Specialized skills in designing advanced Retrieval-Augmented Generation (RAG) architectures, including GraphRAG using Neo4j and vector search engines like Qdrant and pgvector.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Deep backend development experience leveraging Python, FastAPI, Django, and SQLAlchemy to build secure, high-throughput RESTful APIs and distributed microservices.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Demonstrated success in Intelligent Document Processing (IDP), building provider-agnostic extraction layers to parse complex, multi-page PDFs, insurance policies, mortgage loans and financial records.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Expert in workflow automation and Robotic Process Automation (RPA), with deep knowledge of UiPath, Google Document AI, and building HIPAA-compliant secure pipelines.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Hands-on experience with cutting-edge media synthesis, including custom  pipelines, text-to-speech (TTS) tuning, and automated audio-to-text script processing.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Strong engineering leadership background, skilled in mentoring cross-functional teams.</w:t>
      </w:r>
    </w:p>
    <w:p>
      <w:pPr>
        <w:pStyle w:val="Heading2"/>
        <w:spacing w:before="200" w:after="283"/>
        <w:ind w:left="0" w:hanging="0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 w:val="false"/>
          <w:i w:val="false"/>
          <w:sz w:val="22"/>
          <w:u w:val="none"/>
        </w:rPr>
      </w:r>
    </w:p>
    <w:p>
      <w:pPr>
        <w:pStyle w:val="Heading2"/>
        <w:spacing w:before="200" w:after="283"/>
        <w:ind w:left="0" w:hanging="0"/>
        <w:rPr>
          <w:u w:val="single"/>
        </w:rPr>
      </w:pPr>
      <w:r>
        <w:rPr>
          <w:u w:val="single"/>
        </w:rPr>
        <w:t>Core Technical Proficiencies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AI, ML &amp; GenAI Frameworks:</w:t>
      </w:r>
      <w:r>
        <w:rPr/>
        <w:t xml:space="preserve"> Meta Llama (up to 70B), Google Gemini, Claude, Azure GPT-4o, DeepSeek, ColQwen2, Llama 3.2 Vision, LayoutLMv3, Models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Architectures &amp; Paradigms:</w:t>
      </w:r>
      <w:r>
        <w:rPr/>
        <w:t xml:space="preserve"> RAG, GraphRAG, Agentic AI, Multi-Agent Systems, Text-to-Speech (TTS) Orchestration, Fine-tuning, Provider-Agnostic LLM Integration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Languages &amp; Backend:</w:t>
      </w:r>
      <w:r>
        <w:rPr/>
        <w:t xml:space="preserve"> Python (FastAPI, SQLAlchemy, Django), SQL, PL/SQL, Shell Scripting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Libraries &amp; Tools:</w:t>
      </w:r>
      <w:r>
        <w:rPr/>
        <w:t xml:space="preserve"> LangChain, LangGraph, LlamaIndex, PyTorch, TensorFlow, PyTesseract, EasyOCR, OpenCV, spaCy, NLTK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Data &amp; Infrastructure:</w:t>
      </w:r>
      <w:r>
        <w:rPr/>
        <w:t xml:space="preserve"> Vector DBs (Qdrant, pgvector, ChromaDB), Graph DBs (Neo4j), PostgreSQL, Snowflake, AWS (S3, Lambda), GCP, Microsoft Azure Containers, Docker, CPU/GPU/CUDA Deployments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RPA &amp; Automation:</w:t>
      </w:r>
      <w:r>
        <w:rPr/>
        <w:t xml:space="preserve"> UiPath (Orchestrator, RPA Developer Certified), Google Document AI, AutomationEdge</w:t>
      </w:r>
    </w:p>
    <w:p>
      <w:pPr>
        <w:pStyle w:val="Heading2"/>
        <w:spacing w:before="200" w:after="283"/>
        <w:ind w:left="0" w:hanging="0"/>
        <w:rPr>
          <w:u w:val="single"/>
        </w:rPr>
      </w:pPr>
      <w:r>
        <w:rPr>
          <w:u w:val="single"/>
        </w:rPr>
      </w:r>
    </w:p>
    <w:p>
      <w:pPr>
        <w:pStyle w:val="Heading2"/>
        <w:spacing w:before="200" w:after="283"/>
        <w:ind w:left="0" w:hanging="0"/>
        <w:rPr>
          <w:u w:val="single"/>
        </w:rPr>
      </w:pPr>
      <w:r>
        <w:rPr>
          <w:u w:val="single"/>
        </w:rPr>
        <w:t>Professional Experience</w:t>
      </w:r>
    </w:p>
    <w:p>
      <w:pPr>
        <w:pStyle w:val="Heading3"/>
        <w:spacing w:before="200" w:after="283"/>
        <w:ind w:left="0" w:hanging="0"/>
        <w:rPr>
          <w:i w:val="false"/>
          <w:i w:val="false"/>
          <w:iCs w:val="false"/>
          <w:u w:val="single"/>
        </w:rPr>
      </w:pPr>
      <w:r>
        <w:rPr>
          <w:i w:val="false"/>
          <w:iCs w:val="false"/>
          <w:u w:val="single"/>
        </w:rPr>
        <w:t>IQ Innovation Hub LLP</w:t>
      </w:r>
    </w:p>
    <w:p>
      <w:pPr>
        <w:pStyle w:val="TextBody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AI Engineer / Lead Software Engineer</w:t>
      </w:r>
      <w:r>
        <w:rPr/>
        <w:t xml:space="preserve"> | </w:t>
      </w:r>
      <w:r>
        <w:rPr>
          <w:i/>
        </w:rPr>
        <w:t>December 2023 – Present</w:t>
      </w:r>
    </w:p>
    <w:p>
      <w:pPr>
        <w:pStyle w:val="TextBody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Spearhead cross-functional teams to design, architect, and deploy highly scalable Generative AI products, Agentic workflows, and Intelligent Document Processing (IDP) systems for global enterprise clients.</w:t>
      </w:r>
    </w:p>
    <w:p>
      <w:pPr>
        <w:pStyle w:val="Heading4"/>
        <w:spacing w:before="200" w:after="283"/>
        <w:ind w:left="0" w:hanging="0"/>
        <w:rPr>
          <w:i w:val="false"/>
          <w:i w:val="false"/>
          <w:iCs w:val="false"/>
          <w:u w:val="single"/>
        </w:rPr>
      </w:pPr>
      <w:r>
        <w:rPr>
          <w:i w:val="false"/>
          <w:iCs w:val="false"/>
          <w:u w:val="single"/>
        </w:rPr>
        <w:t>Project 1: AI Based Hospitality — AI-Driven Hotel Operations Platform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Spearheaded the technical architecture and development of an AI-driven hotel operations platform that ingests daily Property Management System (PMS) reports to automate operational task routing using Python.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 xml:space="preserve">Designed and implemented a hybrid, three-store retrieval architecture merging PostgreSQL, Qdrant (vector search), and Neo4j (hierarchical knowledge graph) to manage organizational assets and </w:t>
      </w:r>
      <w:r>
        <w:rPr>
          <w:b/>
          <w:bCs/>
        </w:rPr>
        <w:t>Hotels SOP Documents</w:t>
      </w:r>
      <w:r>
        <w:rPr/>
        <w:t xml:space="preserve"> S</w:t>
      </w:r>
      <w:r>
        <w:rPr>
          <w:b/>
          <w:bCs/>
        </w:rPr>
        <w:t>earched based Rule Engine</w:t>
      </w:r>
      <w:r>
        <w:rPr/>
        <w:t>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Achieved an 85% reduction in retrieval hallucinations and improved response fidelity by implementing a strict four-tier organizational hierarchy within a confidence-gated GraphRAG subsystem.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Developed an intelligent multi-agent routing pipeline leveraging LangChain and LangGraph to dynamically distribute tasks across optimal LLM backends based on contextual complexity.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Optimized inference cost and latency by routing queries dynamically among Azure OpenAI (GPT-4o), Anthropic Claude 3.5 Sonnet, and high-performance text-embedding models using text-embedding-3-large model.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Engineered real-time web and mobile-accessible APIs via FastAPI, ensuring sub-second response latencies for frontline hotel staff accessing institutional memory databases.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Established an automated evaluation pipeline using continuous feedback loop mechanics to track, evaluate, and benchmark LLM response accuracy and drift over time.</w:t>
      </w:r>
      <w:r>
        <w:rPr>
          <w:rFonts w:ascii="Calibri" w:hAnsi="Calibri"/>
          <w:b w:val="false"/>
          <w:i w:val="false"/>
          <w:sz w:val="22"/>
          <w:u w:val="none"/>
        </w:rPr>
        <w:t xml:space="preserve"> Verification Agent to verify LLM responses with the appropriate document to overcome hallucination problem and implementing feedback mechanism.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Collaborated with multi-brand hospitality portfolios (including Marriott, Hilton, and IHG) under Client to ensure domain-specific standardization and onboarding scalability.</w:t>
      </w:r>
    </w:p>
    <w:p>
      <w:pPr>
        <w:pStyle w:val="TextBody"/>
        <w:numPr>
          <w:ilvl w:val="0"/>
          <w:numId w:val="0"/>
        </w:numPr>
        <w:ind w:left="0" w:hanging="0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Tools Used:</w:t>
      </w:r>
      <w:r>
        <w:rPr/>
        <w:t xml:space="preserve"> Python, FastAPI, LangChain, LangGraph, Qdrant, Neo4j, pgvector, PostgreSQL, GraphRAG, Azure GPT-4o, Anthropic Claude</w:t>
      </w:r>
      <w:r>
        <w:rPr>
          <w:rFonts w:ascii="Calibri" w:hAnsi="Calibri"/>
          <w:b w:val="false"/>
          <w:i w:val="false"/>
          <w:sz w:val="22"/>
          <w:u w:val="none"/>
        </w:rPr>
        <w:t>, text-embedding-3-large, Text Embedding, Docling</w:t>
      </w:r>
    </w:p>
    <w:p>
      <w:pPr>
        <w:pStyle w:val="Heading4"/>
        <w:spacing w:before="200" w:after="283"/>
        <w:ind w:left="0" w:hanging="0"/>
        <w:rPr>
          <w:i w:val="false"/>
          <w:i w:val="false"/>
          <w:iCs w:val="false"/>
          <w:u w:val="single"/>
        </w:rPr>
      </w:pPr>
      <w:r>
        <w:rPr>
          <w:i w:val="false"/>
          <w:iCs w:val="false"/>
          <w:u w:val="single"/>
        </w:rPr>
        <w:t>Project 2: AI Meeting Recorder &amp; Summarizer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Engineered a secure, enterprise-grade automated meeting transcription and summarization platform optimized for multi-speaker environments and real-time inference.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Led the configuration and RAG based implementation using of a 70B parameter Meta Llama model on specialized corporate context data to achieve highly tailored summaries.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Managed the deployment and infrastructure setup of high-parameter models on dedicated enterprise GPU/CUDA infrastructure to ensure high throughput and low execution times. Also tested the same model on CPU for testing to have cost effective solution but by compromising latency.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Achieved a verified 98% accuracy rate in contextual summary generation, extracting core insights while mitigating corporate data risk.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Developed advanced speaker diarization layers within the speech-to-text pipeline to precisely distinguish and separate multiple participants in dense acoustic settings using Pyannotate and NVIDIA Library.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Programmed automated NLP extraction rules to isolate actionable items, ownership assignments, and deadlines directly from raw spoken text.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Constructed automated pipelines to format, package, and securely distribute standardized corporate meeting minutes to stakeholders immediately post-session.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Ensured strict data isolation protocols on cloud-hosted GPU machines to maintain enterprise data compliance and safeguard confidential corporate recordings.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rFonts w:ascii="Calibri" w:hAnsi="Calibri"/>
          <w:b w:val="false"/>
          <w:i w:val="false"/>
          <w:sz w:val="22"/>
          <w:u w:val="none"/>
        </w:rPr>
        <w:t>Storing Users audio to detect Speaker on realtime in on-going meeting.</w:t>
      </w:r>
    </w:p>
    <w:p>
      <w:pPr>
        <w:pStyle w:val="TextBody"/>
        <w:numPr>
          <w:ilvl w:val="0"/>
          <w:numId w:val="0"/>
        </w:numPr>
        <w:ind w:left="0" w:hanging="0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Tools Used:</w:t>
      </w:r>
      <w:r>
        <w:rPr/>
        <w:t xml:space="preserve"> Meta Llama 70B, Python, PyTorch, PyCUDA, Speech-to-Text APIs, GPU/CUDA, NLP, Git, PyAnnotate, Speech Diarization.</w:t>
      </w:r>
    </w:p>
    <w:p>
      <w:pPr>
        <w:pStyle w:val="TextBody"/>
        <w:numPr>
          <w:ilvl w:val="0"/>
          <w:numId w:val="0"/>
        </w:numPr>
        <w:ind w:left="0" w:hanging="0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rFonts w:ascii="Calibri" w:hAnsi="Calibri"/>
          <w:b w:val="false"/>
          <w:i w:val="false"/>
          <w:sz w:val="22"/>
          <w:u w:val="none"/>
        </w:rPr>
      </w:r>
    </w:p>
    <w:p>
      <w:pPr>
        <w:pStyle w:val="TextBody"/>
        <w:numPr>
          <w:ilvl w:val="0"/>
          <w:numId w:val="0"/>
        </w:numPr>
        <w:ind w:left="0" w:hanging="0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rFonts w:ascii="Calibri" w:hAnsi="Calibri"/>
          <w:b w:val="false"/>
          <w:i w:val="false"/>
          <w:sz w:val="22"/>
          <w:u w:val="none"/>
        </w:rPr>
      </w:r>
    </w:p>
    <w:p>
      <w:pPr>
        <w:pStyle w:val="Heading4"/>
        <w:spacing w:before="200" w:after="283"/>
        <w:ind w:left="0" w:hanging="0"/>
        <w:rPr>
          <w:i w:val="false"/>
          <w:i w:val="false"/>
          <w:iCs w:val="false"/>
          <w:u w:val="single"/>
        </w:rPr>
      </w:pPr>
      <w:r>
        <w:rPr>
          <w:i w:val="false"/>
          <w:iCs w:val="false"/>
          <w:u w:val="single"/>
        </w:rPr>
        <w:t>Project 3: IQ Document Processing Engine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Designed and launched a multi-modal AI-driven document intelligence engine optimized to parse data from unstructured international insurance documents, policies, and invoices.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Architected an advanced multimodal RAG framework incorporating Llama 3.2 Vision and ColQwen2 to accurately interpret visual components such as financial charts, tables, and dashboards.</w:t>
      </w:r>
      <w:r>
        <w:rPr>
          <w:rFonts w:ascii="Calibri" w:hAnsi="Calibri"/>
          <w:b w:val="false"/>
          <w:i w:val="false"/>
          <w:sz w:val="22"/>
          <w:u w:val="none"/>
        </w:rPr>
        <w:t xml:space="preserve"> Used Docling to convert PDF to Markdown and extract data.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Integrated standalone OCR engines like Docling, PyTesseract and EasyOCR alongside vision-language models to create a resilient, fallback-managed layout parsing structure.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Built an intelligent LLM orchestration layer that evaluates document structure and dynamically routes specific data extraction tasks to the most cost-effective and accurate model.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Developed image normalization and preprocessing pipelines using OpenCV and Docling to drastically improve text legibility on low-resolution or skewed document scans.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Engineered custom confidence-scoring pipelines that pass low-confidence extractions into a human-in-the-loop review queue to maintain strict data quality.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Structured complex document outputs into rigorously typed, custom JSON schemas using Python parsing libraries, facilitating seamless downstream enterprise ingestion into clients system.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Authored extensive prompt engineering frameworks and few-shot evaluation templates to ensure robust model adaptations to changing multi-lingual insurance layouts.</w:t>
      </w:r>
    </w:p>
    <w:p>
      <w:pPr>
        <w:pStyle w:val="TextBody"/>
        <w:numPr>
          <w:ilvl w:val="0"/>
          <w:numId w:val="0"/>
        </w:numPr>
        <w:ind w:left="0" w:hanging="0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Tools Used:</w:t>
      </w:r>
      <w:r>
        <w:rPr/>
        <w:t xml:space="preserve"> Google Gemini, Llama 3.2 Vision, ColQwen2, PyTesseract, OpenCV, EasyOCR, ChatGPT, Python, JSON Schema</w:t>
      </w:r>
    </w:p>
    <w:p>
      <w:pPr>
        <w:pStyle w:val="TextBody"/>
        <w:numPr>
          <w:ilvl w:val="0"/>
          <w:numId w:val="0"/>
        </w:numPr>
        <w:ind w:left="0" w:hanging="0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rFonts w:ascii="Calibri" w:hAnsi="Calibri"/>
          <w:b w:val="false"/>
          <w:i w:val="false"/>
          <w:sz w:val="22"/>
          <w:u w:val="none"/>
        </w:rPr>
      </w:r>
    </w:p>
    <w:p>
      <w:pPr>
        <w:pStyle w:val="TextBody"/>
        <w:numPr>
          <w:ilvl w:val="0"/>
          <w:numId w:val="0"/>
        </w:numPr>
        <w:ind w:left="0" w:hanging="0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rFonts w:ascii="Calibri" w:hAnsi="Calibri"/>
          <w:b w:val="false"/>
          <w:i w:val="false"/>
          <w:sz w:val="22"/>
          <w:u w:val="none"/>
        </w:rPr>
      </w:r>
    </w:p>
    <w:p>
      <w:pPr>
        <w:pStyle w:val="Heading4"/>
        <w:spacing w:before="200" w:after="283"/>
        <w:ind w:left="0" w:hanging="0"/>
        <w:rPr>
          <w:i w:val="false"/>
          <w:i w:val="false"/>
          <w:iCs w:val="false"/>
          <w:u w:val="single"/>
        </w:rPr>
      </w:pPr>
      <w:r>
        <w:rPr>
          <w:i w:val="false"/>
          <w:iCs w:val="false"/>
          <w:u w:val="single"/>
        </w:rPr>
        <w:t>Project 4: IDP (TriadFS)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Architected and scaled an intelligent document processing pipeline handling thousands of dense mortgage applications, financial records, and legal closing PDFs.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Engineered a robust provider-agnostic AI extraction layer supporting seamless run-time transitions between Anthropic Claude, Azure GPT-4o, and Gemini and PlanetAI.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Programmed structured extraction protocols to accurately isolate 133 distinct financial and administrative data fields from heavily nested, scanned mortgage paperwork.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Implemented a specialized two-pass checkbox extraction mechanism using computer vision and multimodal prompting to parse complex legal documents.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Integrated the entire extraction pipeline into a highly modular FastAPI and SQLAlchemy backend architecture optimized for high-volume concurrent requests.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Designed an automated page-reorganization and document indexing module that programmatically injects dynamic PDF bookmarks to ease human auditor navigation.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Realized an 80%+ operational efficiency improvement across three separate enterprise banking client engagements by substituting legacy manual audits with automated extraction.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Engineered multi-page PDF batch processing queues utilizing asynchronous task workers to balance server workloads and eliminate memory fragmentation.</w:t>
      </w:r>
    </w:p>
    <w:p>
      <w:pPr>
        <w:pStyle w:val="TextBody"/>
        <w:numPr>
          <w:ilvl w:val="0"/>
          <w:numId w:val="0"/>
        </w:numPr>
        <w:ind w:left="0" w:hanging="0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Tools Used:</w:t>
      </w:r>
      <w:r>
        <w:rPr/>
        <w:t xml:space="preserve"> Python, FastAPI, SQLAlchemy, Azure GPT-4o, Anthropic Claude, , Gemini, Asynchronous Tasks</w:t>
      </w:r>
      <w:r>
        <w:rPr>
          <w:rFonts w:ascii="Calibri" w:hAnsi="Calibri"/>
          <w:b w:val="false"/>
          <w:i w:val="false"/>
          <w:sz w:val="22"/>
          <w:u w:val="none"/>
        </w:rPr>
        <w:t>, PlanetAI</w:t>
      </w:r>
    </w:p>
    <w:p>
      <w:pPr>
        <w:pStyle w:val="Heading3"/>
        <w:spacing w:before="200" w:after="283"/>
        <w:ind w:left="0" w:hanging="0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Heading3"/>
        <w:spacing w:before="200" w:after="283"/>
        <w:ind w:left="0" w:hanging="0"/>
        <w:rPr>
          <w:b/>
          <w:b/>
          <w:bCs/>
          <w:u w:val="single"/>
        </w:rPr>
      </w:pPr>
      <w:r>
        <w:rPr>
          <w:b/>
          <w:bCs/>
          <w:u w:val="single"/>
        </w:rPr>
        <w:t>iQ Innovation Hub LLP</w:t>
      </w:r>
    </w:p>
    <w:p>
      <w:pPr>
        <w:pStyle w:val="TextBody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Senior Software Engineer / RPA Developer</w:t>
      </w:r>
      <w:r>
        <w:rPr/>
        <w:t xml:space="preserve"> | </w:t>
      </w:r>
      <w:r>
        <w:rPr>
          <w:i/>
        </w:rPr>
        <w:t>April 2019 – December 2023</w:t>
      </w:r>
    </w:p>
    <w:p>
      <w:pPr>
        <w:pStyle w:val="TextBody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Drove backend architecture modernization, scalable microservices, and enterprise-grade robotic process automation for B2B platforms and healthcare compliance.</w:t>
      </w:r>
    </w:p>
    <w:p>
      <w:pPr>
        <w:pStyle w:val="Heading4"/>
        <w:spacing w:before="200" w:after="283"/>
        <w:ind w:left="0" w:hanging="0"/>
        <w:rPr>
          <w:i w:val="false"/>
          <w:i w:val="false"/>
          <w:iCs w:val="false"/>
          <w:u w:val="single"/>
        </w:rPr>
      </w:pPr>
      <w:r>
        <w:rPr>
          <w:i w:val="false"/>
          <w:iCs w:val="false"/>
          <w:u w:val="single"/>
        </w:rPr>
        <w:t>Project 5: ARTUS PROTECT — B2B Insurance Broking Platform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Spearheaded the comprehensive backend modernization of a legacy enterprise insurance architecture, successfully transforming it into a cloud-native, microservices-driven platform.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Designed and deployed an automated high-throughput data ingestion pipeline capable of parsing, checking, and validating over 5,000 highly complex Excel files and insurance policies daily.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Engineered a resilient state-management tracking system to reliably differentiate between processed, active, and unprocessed document batches across cloud containers.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Eliminated critical operational manual data-entry bottlenecks, achieving an immediate zero-data-loss standard across cross-border European brokerage transactions.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Developed comprehensive, secure RESTful APIs leveraging Python and the Django framework to support fluid data exchanges between customer portals and external brokers.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Configured enterprise storage configurations within Microsoft Azure to allow secure, programmatic file access, fetching, and auditing by internal microservices.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Implemented strict database optimization strategies, minimizing processing latencies for massive data sheets and tabular insurance logs.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Managed continuous integration and automated testing routines to guarantee maximum availability and flawless operational execution during systemic legacy-to-cloud migrations.</w:t>
      </w:r>
    </w:p>
    <w:p>
      <w:pPr>
        <w:pStyle w:val="TextBody"/>
        <w:numPr>
          <w:ilvl w:val="0"/>
          <w:numId w:val="0"/>
        </w:numPr>
        <w:ind w:left="0" w:hanging="0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Tools Used:</w:t>
      </w:r>
      <w:r>
        <w:rPr/>
        <w:t xml:space="preserve"> Python, Django, Django REST Framework, Microsoft Azure, Azure Blob Storage, SQL, Git</w:t>
      </w:r>
    </w:p>
    <w:p>
      <w:pPr>
        <w:pStyle w:val="Heading4"/>
        <w:spacing w:before="200" w:after="283"/>
        <w:ind w:left="0" w:hanging="0"/>
        <w:rPr>
          <w:i w:val="false"/>
          <w:i w:val="false"/>
          <w:iCs w:val="false"/>
          <w:u w:val="single"/>
        </w:rPr>
      </w:pPr>
      <w:r>
        <w:rPr>
          <w:i w:val="false"/>
          <w:iCs w:val="false"/>
          <w:u w:val="single"/>
        </w:rPr>
        <w:t>Project 6: SmartGTP Agricultural Trading Platform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Architected the backend infrastructure and business logic for a high-volume B2B agricultural commodity trading platform connecting farmers, distributors, and packers.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Developed scalable and highly secure RESTful APIs via FastAPI to handle user onboarding, multi-tiered digital storefronts, and active bid-and-ask market listings.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Programmed complex transactional workflows to manage trading lifecycles, freight coordination, real-time logistics tracking, and settlement logic.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Implemented strict cryptographic data validation layers to secure internal transactions, prevent order duplication, and guarantee record mutability in PostgreSQL.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Configured secure multi-factor authentication and token-based user management systems leveraging industry-standard OAuth 2.0 protocols.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Integrated automated third-party payment processing gateways to handle complex escrow mechanics, payouts, and automated invoice generations.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Conducted database query tuning and indexing in PostgreSQL to support rapid, low-latency search results for thousands of active agricultural listings.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Maintained strict adherence to multi-region regulatory data guidelines, ensuring robust data handling for international cross-border trades.</w:t>
      </w:r>
    </w:p>
    <w:p>
      <w:pPr>
        <w:pStyle w:val="TextBody"/>
        <w:numPr>
          <w:ilvl w:val="0"/>
          <w:numId w:val="0"/>
        </w:numPr>
        <w:ind w:left="0" w:hanging="0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Tools Used:</w:t>
      </w:r>
      <w:r>
        <w:rPr/>
        <w:t xml:space="preserve"> Python, FastAPI, PostgreSQL, OAuth 2.0, REST APIs, Git, Third-Party Payment APIs</w:t>
      </w:r>
    </w:p>
    <w:p>
      <w:pPr>
        <w:pStyle w:val="TextBody"/>
        <w:numPr>
          <w:ilvl w:val="0"/>
          <w:numId w:val="0"/>
        </w:numPr>
        <w:ind w:left="0" w:hanging="0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rFonts w:ascii="Calibri" w:hAnsi="Calibri"/>
          <w:b w:val="false"/>
          <w:i w:val="false"/>
          <w:sz w:val="22"/>
          <w:u w:val="none"/>
        </w:rPr>
      </w:r>
    </w:p>
    <w:p>
      <w:pPr>
        <w:pStyle w:val="Heading4"/>
        <w:spacing w:before="200" w:after="283"/>
        <w:ind w:left="0" w:hanging="0"/>
        <w:rPr>
          <w:b/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single"/>
        </w:rPr>
        <w:t>Project 7: Healthcare RPA &amp; HIPAA Compliance Automation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Established the operational foundational structure, technical development guidelines, and production support standards for a dedicated healthcare automation unit.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Designed and deployed production-grade UiPath robot fleets executing complex, real-time patient 'Accept/Decline' clinical evaluation logic.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Programmed deep integrations across critical, highly siloed healthcare platforms including CareFlow, Salesforce, Allscripts, and NaviHealth.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Architected every data handling robot to operate under strict HIPAA compliance rules, enforcing end-to-end payload encryption and secure data sanitization.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Integrated specialized OCR and Document AI engines within the RPA pipeline to accurately classify and read incoming patient referral paperwork.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Built automated SMTP-based secure notification networks to distribute actionable output files, exceptions, and audit logs to clinical supervisors.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Implemented real-time bot monitoring, failure recovery protocols, and centralized scheduling utilizing UiPath Orchestrator configurations.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Reduced clinical onboarding processing timelines significantly, eliminating human data replication errors between front-end interfaces and backend databases.</w:t>
      </w:r>
    </w:p>
    <w:p>
      <w:pPr>
        <w:pStyle w:val="TextBody"/>
        <w:numPr>
          <w:ilvl w:val="0"/>
          <w:numId w:val="0"/>
        </w:numPr>
        <w:ind w:left="0" w:hanging="0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Tools Used:</w:t>
      </w:r>
      <w:r>
        <w:rPr/>
        <w:t xml:space="preserve"> UiPath, UiPath Orchestrator, OCR, Salesforce, CareFlow, Allscripts, NaviHealth, SMTP, HIPAA Compliance Architecture</w:t>
      </w:r>
    </w:p>
    <w:p>
      <w:pPr>
        <w:pStyle w:val="Heading2"/>
        <w:spacing w:before="200" w:after="283"/>
        <w:ind w:left="0" w:hanging="0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 w:val="false"/>
          <w:i w:val="false"/>
          <w:sz w:val="22"/>
          <w:u w:val="none"/>
        </w:rPr>
      </w:r>
    </w:p>
    <w:p>
      <w:pPr>
        <w:pStyle w:val="Heading3"/>
        <w:spacing w:before="200" w:after="283"/>
        <w:ind w:left="0" w:hanging="0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Collabera Technical Services</w:t>
      </w:r>
    </w:p>
    <w:p>
      <w:pPr>
        <w:pStyle w:val="TextBody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Technical Recruiter</w:t>
      </w:r>
      <w:r>
        <w:rPr/>
        <w:t xml:space="preserve"> | </w:t>
      </w:r>
      <w:r>
        <w:rPr>
          <w:i/>
        </w:rPr>
        <w:t>June 2017 – June 2018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Sourced, evaluated, and recruited top-tier technical talent for enterprise IT roles, gaining deep insight into candidate screening algorithms and technical hiring metrics.</w:t>
      </w:r>
    </w:p>
    <w:p>
      <w:pPr>
        <w:pStyle w:val="Heading2"/>
        <w:spacing w:before="200" w:after="283"/>
        <w:ind w:left="0" w:hanging="0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Education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Post Graduate Diploma in Big Data Analytics</w:t>
      </w:r>
      <w:r>
        <w:rPr/>
        <w:t xml:space="preserve"> | CDAC (2019)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Bachelor of Engineering in Computer Science and Engineering</w:t>
      </w:r>
      <w:r>
        <w:rPr/>
        <w:t xml:space="preserve"> | RGPV, Bhopal (2017)</w:t>
      </w:r>
    </w:p>
    <w:p>
      <w:pPr>
        <w:pStyle w:val="Heading2"/>
        <w:spacing w:before="200" w:after="283"/>
        <w:ind w:left="0" w:hanging="0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Certifications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Agentic AI &amp; Architectures:</w:t>
      </w:r>
      <w:r>
        <w:rPr/>
        <w:t xml:space="preserve"> </w:t>
      </w:r>
    </w:p>
    <w:p>
      <w:pPr>
        <w:pStyle w:val="TextBody"/>
        <w:numPr>
          <w:ilvl w:val="1"/>
          <w:numId w:val="18"/>
        </w:numPr>
        <w:tabs>
          <w:tab w:val="clear" w:pos="720"/>
          <w:tab w:val="left" w:pos="0" w:leader="none"/>
        </w:tabs>
        <w:ind w:left="1418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Build AI Agents and Chatbots with LangGraph (LinkedIn Learning)</w:t>
      </w:r>
    </w:p>
    <w:p>
      <w:pPr>
        <w:pStyle w:val="TextBody"/>
        <w:numPr>
          <w:ilvl w:val="1"/>
          <w:numId w:val="18"/>
        </w:numPr>
        <w:tabs>
          <w:tab w:val="clear" w:pos="720"/>
          <w:tab w:val="left" w:pos="0" w:leader="none"/>
        </w:tabs>
        <w:ind w:left="1418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Agentic AI in Practice (IBM Training)</w:t>
      </w:r>
      <w:r>
        <w:rPr>
          <w:rFonts w:ascii="Calibri" w:hAnsi="Calibri"/>
          <w:b w:val="false"/>
          <w:i w:val="false"/>
          <w:sz w:val="22"/>
          <w:u w:val="none"/>
        </w:rPr>
        <w:t xml:space="preserve"> (No Certification – Knowledge Based)</w:t>
      </w:r>
    </w:p>
    <w:p>
      <w:pPr>
        <w:pStyle w:val="TextBody"/>
        <w:numPr>
          <w:ilvl w:val="1"/>
          <w:numId w:val="18"/>
        </w:numPr>
        <w:tabs>
          <w:tab w:val="clear" w:pos="720"/>
          <w:tab w:val="left" w:pos="0" w:leader="none"/>
        </w:tabs>
        <w:ind w:left="1418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Model Context Protocol (MCP): Hands-On with Agentic AI</w:t>
      </w:r>
      <w:r>
        <w:rPr>
          <w:rFonts w:ascii="Calibri" w:hAnsi="Calibri"/>
          <w:b w:val="false"/>
          <w:i w:val="false"/>
          <w:sz w:val="22"/>
          <w:u w:val="none"/>
        </w:rPr>
        <w:t xml:space="preserve"> (IBM Training) (No Certification – Knowledge Based)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Generative AI &amp; Vision:</w:t>
      </w:r>
      <w:r>
        <w:rPr/>
        <w:t xml:space="preserve"> </w:t>
      </w:r>
    </w:p>
    <w:p>
      <w:pPr>
        <w:pStyle w:val="TextBody"/>
        <w:numPr>
          <w:ilvl w:val="1"/>
          <w:numId w:val="18"/>
        </w:numPr>
        <w:tabs>
          <w:tab w:val="clear" w:pos="720"/>
          <w:tab w:val="left" w:pos="0" w:leader="none"/>
        </w:tabs>
        <w:ind w:left="1418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Introduction to Generative AI (Simplilearn)</w:t>
      </w:r>
    </w:p>
    <w:p>
      <w:pPr>
        <w:pStyle w:val="TextBody"/>
        <w:numPr>
          <w:ilvl w:val="1"/>
          <w:numId w:val="18"/>
        </w:numPr>
        <w:tabs>
          <w:tab w:val="clear" w:pos="720"/>
          <w:tab w:val="left" w:pos="0" w:leader="none"/>
        </w:tabs>
        <w:ind w:left="1418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w:t>AI Computer Vision Certified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>
          <w:b/>
        </w:rPr>
        <w:t>Automation:</w:t>
      </w:r>
      <w:r>
        <w:rPr/>
        <w:t xml:space="preserve"> RPA UiPath Developer Certified</w:t>
      </w:r>
    </w:p>
    <w:p>
      <w:pPr>
        <w:pStyle w:val="ListBullet"/>
        <w:numPr>
          <w:ilvl w:val="0"/>
          <w:numId w:val="0"/>
        </w:numPr>
        <w:spacing w:before="20" w:after="20"/>
        <w:ind w:left="360" w:hanging="0"/>
        <w:contextualSpacing/>
        <w:rPr>
          <w:rFonts w:ascii="Calibri" w:hAnsi="Calibri"/>
          <w:b w:val="false"/>
          <w:b w:val="false"/>
          <w:i w:val="false"/>
          <w:i w:val="false"/>
          <w:sz w:val="22"/>
          <w:u w:val="none"/>
        </w:rPr>
      </w:pPr>
      <w:r>
        <w:rPr/>
        <mc:AlternateContent>
          <mc:Choice Requires="wps">
            <w:drawing>
              <wp:anchor behindDoc="0" distT="0" distB="0" distL="114300" distR="100965" simplePos="0" locked="0" layoutInCell="0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sectPr>
      <w:type w:val="nextPage"/>
      <w:pgSz w:w="12240" w:h="15840"/>
      <w:pgMar w:left="1440" w:right="144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lineRule="auto" w:line="276" w:before="0" w:after="200"/>
      <w:jc w:val="left"/>
    </w:pPr>
    <w:rPr>
      <w:rFonts w:ascii="Cambria" w:hAnsi="Cambria" w:eastAsia="ＭＳ 明朝" w:cs="DejaVu Sans"/>
      <w:color w:val="auto"/>
      <w:kern w:val="0"/>
      <w:sz w:val="22"/>
      <w:szCs w:val="22"/>
      <w:lang w:val="en-US" w:eastAsia="en-US" w:bidi="ar-SA"/>
    </w:rPr>
  </w:style>
  <w:style w:type="paragraph" w:styleId="Heading1" w:customStyle="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DejaVu Sans"/>
      <w:b/>
      <w:bCs/>
      <w:color w:val="365F91"/>
      <w:sz w:val="28"/>
      <w:szCs w:val="28"/>
    </w:rPr>
  </w:style>
  <w:style w:type="paragraph" w:styleId="Heading2" w:customStyle="1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DejaVu Sans"/>
      <w:b/>
      <w:bCs/>
      <w:color w:val="4F81BD"/>
      <w:sz w:val="26"/>
      <w:szCs w:val="26"/>
    </w:rPr>
  </w:style>
  <w:style w:type="paragraph" w:styleId="Heading3" w:customStyle="1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DejaVu Sans"/>
      <w:b/>
      <w:bCs/>
      <w:color w:val="4F81BD"/>
    </w:rPr>
  </w:style>
  <w:style w:type="paragraph" w:styleId="Heading4" w:customStyle="1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val="4F81BD"/>
    </w:rPr>
  </w:style>
  <w:style w:type="paragraph" w:styleId="Heading5" w:customStyle="1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val="243F60"/>
    </w:rPr>
  </w:style>
  <w:style w:type="paragraph" w:styleId="Heading6" w:customStyle="1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val="243F60"/>
    </w:rPr>
  </w:style>
  <w:style w:type="paragraph" w:styleId="Heading7" w:customStyle="1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val="404040"/>
    </w:rPr>
  </w:style>
  <w:style w:type="paragraph" w:styleId="Heading8" w:customStyle="1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val="4F81BD"/>
      <w:sz w:val="20"/>
      <w:szCs w:val="20"/>
    </w:rPr>
  </w:style>
  <w:style w:type="paragraph" w:styleId="Heading9" w:customStyle="1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val="404040"/>
      <w:sz w:val="20"/>
      <w:szCs w:val="20"/>
    </w:rPr>
  </w:style>
  <w:style w:type="character" w:styleId="DefaultParagraphFont" w:default="1">
    <w:name w:val="Default Paragraph Font"/>
    <w:qFormat/>
    <w:rPr/>
  </w:style>
  <w:style w:type="character" w:styleId="HeaderChar" w:customStyle="1">
    <w:name w:val="Header Char"/>
    <w:basedOn w:val="DefaultParagraphFont"/>
    <w:link w:val="Header"/>
    <w:qFormat/>
    <w:rPr/>
  </w:style>
  <w:style w:type="character" w:styleId="FooterChar" w:customStyle="1">
    <w:name w:val="Footer Char"/>
    <w:basedOn w:val="DefaultParagraphFont"/>
    <w:link w:val="Footer"/>
    <w:qFormat/>
    <w:rPr/>
  </w:style>
  <w:style w:type="character" w:styleId="Heading1Char" w:customStyle="1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val="4F81BD"/>
    </w:rPr>
  </w:style>
  <w:style w:type="character" w:styleId="TitleChar" w:customStyle="1">
    <w:name w:val="Title Char"/>
    <w:basedOn w:val="DefaultParagraphFont"/>
    <w:link w:val="Title"/>
    <w:qFormat/>
    <w:rPr>
      <w:rFonts w:ascii="Calibri" w:hAnsi="Calibri" w:eastAsia="ＭＳ ゴシック" w:cs="DejaVu Sans"/>
      <w:color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qFormat/>
    <w:rPr/>
  </w:style>
  <w:style w:type="character" w:styleId="BodyText2Char" w:customStyle="1">
    <w:name w:val="Body Text 2 Char"/>
    <w:basedOn w:val="DefaultParagraphFont"/>
    <w:link w:val="BodyText2"/>
    <w:qFormat/>
    <w:rPr/>
  </w:style>
  <w:style w:type="character" w:styleId="BodyText3Char" w:customStyle="1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qFormat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qFormat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link w:val="Heading5"/>
    <w:qFormat/>
    <w:rPr>
      <w:rFonts w:ascii="Calibri" w:hAnsi="Calibri" w:eastAsia="ＭＳ ゴシック" w:cs="DejaVu Sans"/>
      <w:color w:val="243F60"/>
    </w:rPr>
  </w:style>
  <w:style w:type="character" w:styleId="Heading6Char" w:customStyle="1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val="243F60"/>
    </w:rPr>
  </w:style>
  <w:style w:type="character" w:styleId="Heading7Char" w:customStyle="1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qFormat/>
    <w:rPr>
      <w:rFonts w:ascii="Calibri" w:hAnsi="Calibri" w:eastAsia="ＭＳ ゴシック" w:cs="DejaVu Sans"/>
      <w:color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 w:customStyle="1">
    <w:name w:val="Intense Quote Char"/>
    <w:basedOn w:val="DefaultParagraphFont"/>
    <w:link w:val="IntenseQuote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left="360" w:right="0" w:hanging="360"/>
      <w:contextualSpacing/>
    </w:pPr>
    <w:rPr/>
  </w:style>
  <w:style w:type="paragraph" w:styleId="Caption" w:customStyle="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 w:customStyle="1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 w:customStyle="1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lineRule="auto" w:line="240" w:before="0" w:after="0"/>
      <w:jc w:val="left"/>
    </w:pPr>
    <w:rPr>
      <w:rFonts w:ascii="Cambria" w:hAnsi="Cambria" w:eastAsia="ＭＳ 明朝" w:cs="DejaVu Sans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 w:right="0" w:hanging="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qFormat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qFormat/>
    <w:pPr>
      <w:spacing w:before="0" w:after="200"/>
      <w:ind w:left="1080" w:right="0" w:hanging="360"/>
      <w:contextualSpacing/>
    </w:pPr>
    <w:rPr/>
  </w:style>
  <w:style w:type="paragraph" w:styleId="ListBullet">
    <w:name w:val="List Bullet"/>
    <w:basedOn w:val="Normal"/>
    <w:qFormat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qFormat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qFormat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qFormat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qFormat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qFormat/>
    <w:pPr>
      <w:spacing w:before="0" w:after="120"/>
      <w:ind w:left="360" w:right="0" w:hanging="0"/>
      <w:contextualSpacing/>
    </w:pPr>
    <w:rPr/>
  </w:style>
  <w:style w:type="paragraph" w:styleId="ListContinue2">
    <w:name w:val="List Continue 2"/>
    <w:basedOn w:val="Normal"/>
    <w:qFormat/>
    <w:pPr>
      <w:spacing w:before="0" w:after="120"/>
      <w:ind w:left="720" w:right="0" w:hanging="0"/>
      <w:contextualSpacing/>
    </w:pPr>
    <w:rPr/>
  </w:style>
  <w:style w:type="paragraph" w:styleId="ListContinue3">
    <w:name w:val="List Continue 3"/>
    <w:basedOn w:val="Normal"/>
    <w:qFormat/>
    <w:pPr>
      <w:spacing w:before="0" w:after="120"/>
      <w:ind w:left="1080" w:right="0" w:hanging="0"/>
      <w:contextualSpacing/>
    </w:pPr>
    <w:rPr/>
  </w:style>
  <w:style w:type="paragraph" w:styleId="Macro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overflowPunct w:val="true"/>
      <w:bidi w:val="0"/>
      <w:spacing w:lineRule="auto" w:line="276" w:before="0" w:after="200"/>
      <w:jc w:val="left"/>
    </w:pPr>
    <w:rPr>
      <w:rFonts w:ascii="Courier" w:hAnsi="Courier" w:eastAsia="ＭＳ 明朝" w:cs="DejaVu Sans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val="000000"/>
    </w:rPr>
  </w:style>
  <w:style w:type="paragraph" w:styleId="Caption1">
    <w:name w:val="caption"/>
    <w:basedOn w:val="Normal"/>
    <w:next w:val="Normal"/>
    <w:qFormat/>
    <w:pPr>
      <w:spacing w:lineRule="auto" w:line="240"/>
    </w:pPr>
    <w:rPr>
      <w:b/>
      <w:bCs/>
      <w:color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/>
    </w:rPr>
  </w:style>
  <w:style w:type="paragraph" w:styleId="IndexHeading" w:customStyle="1">
    <w:name w:val="Index Heading"/>
    <w:basedOn w:val="Heading"/>
    <w:pPr/>
    <w:rPr/>
  </w:style>
  <w:style w:type="paragraph" w:styleId="ContentsHeading">
    <w:name w:val="TOC Heading"/>
    <w:basedOn w:val="Heading1"/>
    <w:next w:val="Normal"/>
    <w:pPr>
      <w:outlineLvl w:val="9"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Application>LibreOffice/7.3.7.2$Linux_X86_64 LibreOffice_project/30$Build-2</Application>
  <AppVersion>15.0000</AppVersion>
  <Pages>8</Pages>
  <Words>1862</Words>
  <Characters>12781</Characters>
  <CharactersWithSpaces>14459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2026-07-07T15:55:01Z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0x010100293AC87E7BD38A46A202102122DFFCC3</vt:lpwstr>
  </property>
</Properties>
</file>