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80"/>
        <w:jc w:val="center"/>
        <w:rPr/>
      </w:pPr>
      <w:r>
        <w:rPr>
          <w:b/>
          <w:bCs/>
          <w:color w:val="1B2A4A"/>
          <w:spacing w:val="80"/>
          <w:sz w:val="48"/>
          <w:szCs w:val="48"/>
        </w:rPr>
        <w:t>KISHAN ASHWATH</w:t>
      </w:r>
    </w:p>
    <w:p>
      <w:pPr>
        <w:pStyle w:val="Normal"/>
        <w:spacing w:before="0" w:after="60"/>
        <w:jc w:val="center"/>
        <w:rPr/>
      </w:pPr>
      <w:r>
        <w:rPr>
          <w:i/>
          <w:iCs/>
          <w:color w:val="5A5A5A"/>
          <w:sz w:val="22"/>
          <w:szCs w:val="22"/>
        </w:rPr>
        <w:t xml:space="preserve">SAP Concur Enterprise Consultant | CIP Certified | T&amp;E Transformation Leader </w:t>
      </w:r>
    </w:p>
    <w:p>
      <w:pPr>
        <w:pStyle w:val="Normal"/>
        <w:spacing w:before="0" w:after="40"/>
        <w:jc w:val="center"/>
        <w:rPr>
          <w:color w:val="5A5A5A"/>
          <w:sz w:val="19"/>
          <w:szCs w:val="19"/>
        </w:rPr>
      </w:pPr>
      <w:r>
        <w:rPr>
          <w:color w:val="5A5A5A"/>
          <w:sz w:val="19"/>
          <w:szCs w:val="19"/>
        </w:rPr>
        <w:t>+91 9964173027 | kishankhoday.ashwath@gmail.com | Bengaluru, India</w:t>
      </w:r>
    </w:p>
    <w:p>
      <w:pPr>
        <w:pStyle w:val="Normal"/>
        <w:spacing w:before="0" w:after="40"/>
        <w:jc w:val="center"/>
        <w:rPr/>
      </w:pPr>
      <w:r>
        <w:rPr>
          <w:b/>
          <w:bCs/>
          <w:color w:val="0070C0"/>
          <w:sz w:val="19"/>
          <w:szCs w:val="19"/>
        </w:rPr>
        <w:t>LinkedIn</w:t>
      </w:r>
      <w:r>
        <w:rPr>
          <w:color w:val="5A5A5A"/>
          <w:sz w:val="19"/>
          <w:szCs w:val="19"/>
        </w:rPr>
        <w:t>: https://www.linkedin.com/in/kishanashwath</w:t>
      </w:r>
    </w:p>
    <w:p>
      <w:pPr>
        <w:pStyle w:val="Normal"/>
        <w:pBdr>
          <w:bottom w:val="single" w:sz="16" w:space="0" w:color="1B2A4A"/>
        </w:pBdr>
        <w:rPr/>
      </w:pPr>
      <w:r>
        <w:rPr/>
      </w:r>
    </w:p>
    <w:p>
      <w:pPr>
        <w:pStyle w:val="Normal"/>
        <w:spacing w:before="220" w:after="60"/>
        <w:rPr/>
      </w:pPr>
      <w:r>
        <w:rPr>
          <w:b/>
          <w:bCs/>
          <w:color w:val="1B2A4A"/>
          <w:spacing w:val="40"/>
          <w:sz w:val="22"/>
          <w:szCs w:val="22"/>
        </w:rPr>
        <w:t>EXECUTIVE SUMMARY</w:t>
      </w:r>
    </w:p>
    <w:p>
      <w:pPr>
        <w:pStyle w:val="Normal"/>
        <w:pBdr>
          <w:bottom w:val="single" w:sz="6" w:space="0" w:color="C8102E"/>
        </w:pBdr>
        <w:rPr/>
      </w:pPr>
      <w:r>
        <w:rPr/>
      </w:r>
    </w:p>
    <w:p>
      <w:pPr>
        <w:pStyle w:val="Normal"/>
        <w:spacing w:before="100" w:after="120"/>
        <w:rPr/>
      </w:pPr>
      <w:r>
        <w:rPr/>
        <w:t>15+ years of end-to-end expertise in Travel &amp; Expense transformation, SAP Concur implementation, and Accounts Payable modernization across global Fortune 500 engagements. Certified SAP Concur Implementation Professional (CIP) with a track record of deploying Concur across 130+ countries, architecting ERP migrations to S/4HANA, and embedding ABAC/SOX compliance controls into T&amp;E operations. Combines deep practitioner knowledge—spanning Goldman Sachs, J.P. Morgan, and Big Four environments—with consulting-grade stakeholder management, solution design, and organizational change. Positioned to drive enterprise spend governance and T&amp;E Centre of Excellence mandates for clients in financial services, energy, and professional services sectors.</w:t>
      </w:r>
    </w:p>
    <w:p>
      <w:pPr>
        <w:pStyle w:val="Normal"/>
        <w:spacing w:before="220" w:after="60"/>
        <w:rPr/>
      </w:pPr>
      <w:r>
        <w:rPr>
          <w:b/>
          <w:bCs/>
          <w:color w:val="1B2A4A"/>
          <w:spacing w:val="40"/>
          <w:sz w:val="22"/>
          <w:szCs w:val="22"/>
        </w:rPr>
        <w:t>CORE COMPETENCIES</w:t>
      </w:r>
    </w:p>
    <w:p>
      <w:pPr>
        <w:pStyle w:val="Normal"/>
        <w:pBdr>
          <w:bottom w:val="single" w:sz="6" w:space="0" w:color="C8102E"/>
        </w:pBdr>
        <w:rPr/>
      </w:pPr>
      <w:r>
        <w:rPr/>
      </w:r>
    </w:p>
    <w:p>
      <w:pPr>
        <w:pStyle w:val="Normal"/>
        <w:spacing w:before="80" w:after="40"/>
        <w:rPr/>
      </w:pPr>
      <w:r>
        <w:rPr/>
      </w:r>
    </w:p>
    <w:tbl>
      <w:tblPr>
        <w:tblW w:w="880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/>
      </w:tblPr>
      <w:tblGrid>
        <w:gridCol w:w="2200"/>
        <w:gridCol w:w="2200"/>
        <w:gridCol w:w="2200"/>
        <w:gridCol w:w="2199"/>
      </w:tblGrid>
      <w:tr>
        <w:trPr/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8EBF0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color w:val="1B2A4A"/>
                <w:sz w:val="18"/>
                <w:szCs w:val="18"/>
              </w:rPr>
              <w:t>SAP Concur (CIP)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8EBF0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color w:val="1B2A4A"/>
                <w:sz w:val="18"/>
                <w:szCs w:val="18"/>
              </w:rPr>
              <w:t>T&amp;E Transformation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8EBF0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color w:val="1B2A4A"/>
                <w:sz w:val="18"/>
                <w:szCs w:val="18"/>
              </w:rPr>
              <w:t>S/4HANA Integration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8EBF0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color w:val="1B2A4A"/>
                <w:sz w:val="18"/>
                <w:szCs w:val="18"/>
              </w:rPr>
              <w:t>ABAC / SOX Controls</w:t>
            </w:r>
          </w:p>
        </w:tc>
      </w:tr>
      <w:tr>
        <w:trPr/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8EBF0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color w:val="1B2A4A"/>
                <w:sz w:val="18"/>
                <w:szCs w:val="18"/>
              </w:rPr>
              <w:t>Global Rollout Mgmt.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8EBF0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color w:val="1B2A4A"/>
                <w:sz w:val="18"/>
                <w:szCs w:val="18"/>
              </w:rPr>
              <w:t>Change Management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8EBF0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color w:val="1B2A4A"/>
                <w:sz w:val="18"/>
                <w:szCs w:val="18"/>
              </w:rPr>
              <w:t>Audit Rule Design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8EBF0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color w:val="1B2A4A"/>
                <w:sz w:val="18"/>
                <w:szCs w:val="18"/>
              </w:rPr>
              <w:t>AmEx GBT / Cards</w:t>
            </w:r>
          </w:p>
        </w:tc>
      </w:tr>
    </w:tbl>
    <w:p>
      <w:pPr>
        <w:pStyle w:val="Normal"/>
        <w:spacing w:before="220" w:after="60"/>
        <w:rPr/>
      </w:pPr>
      <w:r>
        <w:rPr>
          <w:b/>
          <w:bCs/>
          <w:color w:val="1B2A4A"/>
          <w:spacing w:val="40"/>
          <w:sz w:val="22"/>
          <w:szCs w:val="22"/>
        </w:rPr>
        <w:t>PROFESSIONAL EXPERIENCE</w:t>
      </w:r>
    </w:p>
    <w:p>
      <w:pPr>
        <w:pStyle w:val="Normal"/>
        <w:pBdr>
          <w:bottom w:val="single" w:sz="6" w:space="0" w:color="C8102E"/>
        </w:pBdr>
        <w:rPr/>
      </w:pPr>
      <w:r>
        <w:rPr/>
      </w:r>
    </w:p>
    <w:p>
      <w:pPr>
        <w:pStyle w:val="Normal"/>
        <w:spacing w:before="180" w:after="30"/>
        <w:rPr/>
      </w:pPr>
      <w:r>
        <w:rPr>
          <w:b/>
          <w:bCs/>
          <w:color w:val="1B2A4A"/>
          <w:sz w:val="22"/>
          <w:szCs w:val="22"/>
        </w:rPr>
        <w:t xml:space="preserve">SAP Concur Lead Consultant / Associate Manager Packaged App Development </w:t>
      </w:r>
      <w:r>
        <w:rPr>
          <w:color w:val="5A5A5A"/>
          <w:sz w:val="22"/>
          <w:szCs w:val="22"/>
        </w:rPr>
        <w:t xml:space="preserve">  |    </w:t>
      </w:r>
      <w:r>
        <w:rPr>
          <w:i/>
          <w:iCs/>
          <w:color w:val="5A5A5A"/>
        </w:rPr>
        <w:t>Sep 2024 – Aug 2026</w:t>
      </w:r>
    </w:p>
    <w:p>
      <w:pPr>
        <w:pStyle w:val="Normal"/>
        <w:spacing w:before="0" w:after="60"/>
        <w:rPr/>
      </w:pPr>
      <w:r>
        <w:rPr>
          <w:b/>
          <w:bCs/>
          <w:color w:val="5A5A5A"/>
        </w:rPr>
        <w:t>Accenture Solutions Pvt. Ltd., Bengaluru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/>
        <w:t>Lead SAP Concur E2E implementation for ADNOC (Abu Dhabi National Oil &amp; Gas), one of the world's largest integrated energy companies, overseeing a cross-functional team of 7 (FI Consultants, ABAP, CPI, Concur).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/>
        <w:t>Own end-to-end delivery lifecycle: requirements gathering, system configuration, change management, hyper care, and production stabilization.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/>
        <w:t>Drive capability building within Accenture's T&amp;E practice, including knowledge transfer frameworks and accelerator toolkits.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/>
        <w:t>Manage change requests, rollouts, and stakeholder alignment across client business and IT leadership.</w:t>
      </w:r>
    </w:p>
    <w:p>
      <w:pPr>
        <w:pStyle w:val="Normal"/>
        <w:spacing w:before="180" w:after="30"/>
        <w:rPr/>
      </w:pPr>
      <w:r>
        <w:rPr>
          <w:b/>
          <w:bCs/>
          <w:color w:val="1B2A4A"/>
          <w:sz w:val="22"/>
          <w:szCs w:val="22"/>
        </w:rPr>
        <w:t>SAP Concur Senior Consultant</w:t>
      </w:r>
      <w:r>
        <w:rPr>
          <w:color w:val="5A5A5A"/>
          <w:sz w:val="22"/>
          <w:szCs w:val="22"/>
        </w:rPr>
        <w:t xml:space="preserve">    |    </w:t>
      </w:r>
      <w:r>
        <w:rPr>
          <w:i/>
          <w:iCs/>
          <w:color w:val="5A5A5A"/>
        </w:rPr>
        <w:t>Nov 2021 – Sep 2024</w:t>
      </w:r>
    </w:p>
    <w:p>
      <w:pPr>
        <w:pStyle w:val="Normal"/>
        <w:spacing w:before="0" w:after="60"/>
        <w:rPr/>
      </w:pPr>
      <w:r>
        <w:rPr>
          <w:b/>
          <w:bCs/>
          <w:color w:val="5A5A5A"/>
        </w:rPr>
        <w:t>Qentelli Solutions Pvt. Ltd., Hyderabad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/>
        <w:t>Delivered SAP Concur global program for one of a Big Four Firm across 130+ countries, ensuring adherence to a standardized Global Template throughout.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/>
        <w:t>Managed full deployment lifecycle across Italy, Southeast Asia, Japan, Canada, Chile, Ireland, Australia, New Zealand, India, Sri Lanka, Mauritius, and Bangladesh.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/>
        <w:t>Orchestrated ERP migration for Southeast Asia countries from SAP Legacy to SAP S/4HANA (planning, data migration, cutover activities).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/>
        <w:t>Designed and implemented a change request governance process that reduced turnaround time by 40%, cutting cycle time and improving compliance traceability.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/>
        <w:t>Automated weekly reporting using Power BI, reclaiming 5 hours per week in manual reporting effort.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/>
        <w:t>Authored thought leadership content: two published blogs on T&amp;E Essentials and AI-Powered Expense Auditing.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/>
        <w:t>Represented the firm at SAP Concur Partner 'Perfect Pitch' competition.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180" w:after="30"/>
        <w:rPr/>
      </w:pPr>
      <w:r>
        <w:rPr>
          <w:b/>
          <w:bCs/>
          <w:color w:val="1B2A4A"/>
          <w:sz w:val="22"/>
          <w:szCs w:val="22"/>
        </w:rPr>
        <w:t>Accounts Payable Associate – T&amp;E and Vendor Relationship</w:t>
      </w:r>
      <w:r>
        <w:rPr>
          <w:color w:val="5A5A5A"/>
          <w:sz w:val="22"/>
          <w:szCs w:val="22"/>
        </w:rPr>
        <w:t xml:space="preserve">    |    </w:t>
      </w:r>
      <w:r>
        <w:rPr>
          <w:i/>
          <w:iCs/>
          <w:color w:val="5A5A5A"/>
        </w:rPr>
        <w:t>Jul 2018 – Nov 2021</w:t>
      </w:r>
    </w:p>
    <w:p>
      <w:pPr>
        <w:pStyle w:val="Normal"/>
        <w:spacing w:before="0" w:after="60"/>
        <w:rPr/>
      </w:pPr>
      <w:r>
        <w:rPr>
          <w:b/>
          <w:bCs/>
          <w:color w:val="5A5A5A"/>
        </w:rPr>
        <w:t>Goldman Sachs India Pvt. Ltd., Bengaluru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/>
        <w:t>Directed T&amp;E operations for a global workforce, managing a team of 11 and serving as primary relationship officer for American Express corporate card program.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/>
        <w:t>Introduced SAP Concur (end-to-end), leading requirements gathering, design, testing, defect management, rollout communication, and hyper care.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/>
        <w:t>Implemented AmEx Purchasing Card as a new payment module, boosting annual corporate card rebates by 30%.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/>
        <w:t>Owned TEEMS (T&amp;E Expense Management System) application governance, role management, enhancement identification, and RCSA certification.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/>
        <w:t>Executed SOX compliance audits (quarterly), accrual certifications, variance analysis, and action plans on audit observations.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/>
        <w:t>Managed strategic vendor payment solutions including corporate card data feed integration to Concur and KYC management for card program compliance.</w:t>
      </w:r>
    </w:p>
    <w:p>
      <w:pPr>
        <w:pStyle w:val="Normal"/>
        <w:spacing w:before="180" w:after="30"/>
        <w:rPr/>
      </w:pPr>
      <w:r>
        <w:rPr>
          <w:b/>
          <w:bCs/>
          <w:color w:val="1B2A4A"/>
          <w:sz w:val="22"/>
          <w:szCs w:val="22"/>
        </w:rPr>
        <w:t>Accounts Payable Specialist – T&amp;E &amp; Vendor Payments</w:t>
      </w:r>
      <w:r>
        <w:rPr>
          <w:color w:val="5A5A5A"/>
          <w:sz w:val="22"/>
          <w:szCs w:val="22"/>
        </w:rPr>
        <w:t xml:space="preserve">    |    </w:t>
      </w:r>
      <w:r>
        <w:rPr>
          <w:i/>
          <w:iCs/>
          <w:color w:val="5A5A5A"/>
        </w:rPr>
        <w:t>Jun 2012 – Jul 2018</w:t>
      </w:r>
    </w:p>
    <w:p>
      <w:pPr>
        <w:pStyle w:val="Normal"/>
        <w:spacing w:before="0" w:after="60"/>
        <w:rPr/>
      </w:pPr>
      <w:r>
        <w:rPr>
          <w:b/>
          <w:bCs/>
          <w:color w:val="5A5A5A"/>
        </w:rPr>
        <w:t>J.P. Morgan Chase &amp; Co., Bengaluru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/>
        <w:t>Audited and processed T&amp;E and vendor invoice reports against global firm policy across Oracle and Concur platforms.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/>
        <w:t>Drove SAP Concur implementation: end-to-end testing, defect resolution, and production readiness.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/>
        <w:t>Executed Oracle T&amp;E system upgrade from 11i to R12 and led T&amp;E process migration to offshore location.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/>
        <w:t>Managed UK/EMEA tax reclaim reconciliation, AP liability account clearances, and monthly MIS dashboards for senior management.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/>
        <w:t>Coordinated corporate card type change from CBCP to IBCP with minimal operational disruption.</w:t>
      </w:r>
    </w:p>
    <w:p>
      <w:pPr>
        <w:pStyle w:val="Normal"/>
        <w:spacing w:before="180" w:after="30"/>
        <w:rPr/>
      </w:pPr>
      <w:r>
        <w:rPr>
          <w:b/>
          <w:bCs/>
          <w:color w:val="1B2A4A"/>
          <w:sz w:val="22"/>
          <w:szCs w:val="22"/>
        </w:rPr>
        <w:t>Accounts Receivable Associate</w:t>
      </w:r>
      <w:r>
        <w:rPr>
          <w:color w:val="5A5A5A"/>
          <w:sz w:val="22"/>
          <w:szCs w:val="22"/>
        </w:rPr>
        <w:t xml:space="preserve">    |    </w:t>
      </w:r>
      <w:r>
        <w:rPr>
          <w:i/>
          <w:iCs/>
          <w:color w:val="5A5A5A"/>
        </w:rPr>
        <w:t>Jul 2010 – Jun 2012</w:t>
      </w:r>
    </w:p>
    <w:p>
      <w:pPr>
        <w:pStyle w:val="Normal"/>
        <w:spacing w:before="0" w:after="60"/>
        <w:rPr/>
      </w:pPr>
      <w:r>
        <w:rPr>
          <w:b/>
          <w:bCs/>
          <w:color w:val="5A5A5A"/>
        </w:rPr>
        <w:t>Hewlett Packard (HP), Bengaluru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/>
        <w:t>Performed reconciliation of inventory and receivable accounts from sub-ledger to main ledger within the Centralized Reconciliation Team.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/>
        <w:t>Executed month-end closures and posting entries in SAP, maintaining accounts within accepted receivable policy.</w:t>
      </w:r>
    </w:p>
    <w:p>
      <w:pPr>
        <w:pStyle w:val="Normal"/>
        <w:spacing w:before="220" w:after="60"/>
        <w:rPr/>
      </w:pPr>
      <w:r>
        <w:rPr>
          <w:b/>
          <w:bCs/>
          <w:color w:val="1B2A4A"/>
          <w:spacing w:val="40"/>
          <w:sz w:val="22"/>
          <w:szCs w:val="22"/>
        </w:rPr>
        <w:t>NOTABLE PROJECTS &amp; IMPACT</w:t>
      </w:r>
    </w:p>
    <w:p>
      <w:pPr>
        <w:pStyle w:val="Normal"/>
        <w:pBdr>
          <w:bottom w:val="single" w:sz="6" w:space="0" w:color="C8102E"/>
        </w:pBdr>
        <w:rPr/>
      </w:pPr>
      <w:r>
        <w:rPr/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b/>
          <w:bCs/>
          <w:color w:val="1B2A4A"/>
        </w:rPr>
        <w:t xml:space="preserve">Concur Implementation Lead: </w:t>
      </w:r>
      <w:r>
        <w:rPr/>
        <w:t>ADNOC Global T&amp;E Modernization</w:t>
      </w:r>
    </w:p>
    <w:p>
      <w:pPr>
        <w:pStyle w:val="ListParagraph"/>
        <w:numPr>
          <w:ilvl w:val="0"/>
          <w:numId w:val="5"/>
        </w:numPr>
        <w:spacing w:before="20" w:after="20"/>
        <w:rPr/>
      </w:pPr>
      <w:r>
        <w:rPr>
          <w:color w:val="5A5A5A"/>
          <w:sz w:val="19"/>
          <w:szCs w:val="19"/>
        </w:rPr>
        <w:t>Deployed SAP Concur across ADNOC's global operations, integrating with SAP S/4HANA Finance and managing compliance across UAE and multi-country regulatory requirements.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b/>
          <w:bCs/>
          <w:color w:val="1B2A4A"/>
        </w:rPr>
        <w:t xml:space="preserve">Program Consultant: </w:t>
      </w:r>
      <w:r>
        <w:rPr/>
        <w:t>Big Four Global Concur Rollout (130+ Countries)</w:t>
      </w:r>
    </w:p>
    <w:p>
      <w:pPr>
        <w:pStyle w:val="ListParagraph"/>
        <w:numPr>
          <w:ilvl w:val="0"/>
          <w:numId w:val="2"/>
        </w:numPr>
        <w:spacing w:before="20" w:after="20"/>
        <w:rPr/>
      </w:pPr>
      <w:r>
        <w:rPr>
          <w:color w:val="5A5A5A"/>
          <w:sz w:val="19"/>
          <w:szCs w:val="19"/>
        </w:rPr>
        <w:t>Standardized global T&amp;E policy across 130+ countries using a single Concur instance, navigating local tax configurations, multi-currency requirements, and regulatory constraints.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b/>
          <w:bCs/>
          <w:color w:val="1B2A4A"/>
        </w:rPr>
        <w:t xml:space="preserve">Migration Architect: </w:t>
      </w:r>
      <w:r>
        <w:rPr/>
        <w:t>Southeast Asia S/4HANA Migration</w:t>
      </w:r>
    </w:p>
    <w:p>
      <w:pPr>
        <w:pStyle w:val="ListParagraph"/>
        <w:numPr>
          <w:ilvl w:val="0"/>
          <w:numId w:val="2"/>
        </w:numPr>
        <w:spacing w:before="20" w:after="20"/>
        <w:rPr/>
      </w:pPr>
      <w:r>
        <w:rPr>
          <w:color w:val="5A5A5A"/>
          <w:sz w:val="19"/>
          <w:szCs w:val="19"/>
        </w:rPr>
        <w:t>Led end-to-end ERP migration for Southeast Asia entities from SAP ECC to S/4HANA — covering planning, data migration strategy, and cutover — with zero production incidents post-go-live.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b/>
          <w:bCs/>
          <w:color w:val="1B2A4A"/>
        </w:rPr>
        <w:t xml:space="preserve">Internal Program Lead: </w:t>
      </w:r>
      <w:r>
        <w:rPr/>
        <w:t>Goldman Sachs Concur Deployment</w:t>
      </w:r>
    </w:p>
    <w:p>
      <w:pPr>
        <w:pStyle w:val="ListParagraph"/>
        <w:numPr>
          <w:ilvl w:val="0"/>
          <w:numId w:val="2"/>
        </w:numPr>
        <w:spacing w:before="20" w:after="20"/>
        <w:rPr/>
      </w:pPr>
      <w:r>
        <w:rPr>
          <w:color w:val="5A5A5A"/>
          <w:sz w:val="19"/>
          <w:szCs w:val="19"/>
        </w:rPr>
        <w:t>Introduced SAP Concur from scratch into GS's global AP infrastructure, integrating AmEx corporate card feeds and achieving a 30% uplift in annual card rebates.</w:t>
      </w:r>
    </w:p>
    <w:p>
      <w:pPr>
        <w:pStyle w:val="Normal"/>
        <w:spacing w:before="220" w:after="60"/>
        <w:rPr/>
      </w:pPr>
      <w:r>
        <w:rPr>
          <w:b/>
          <w:bCs/>
          <w:color w:val="1B2A4A"/>
          <w:spacing w:val="40"/>
          <w:sz w:val="22"/>
          <w:szCs w:val="22"/>
        </w:rPr>
        <w:t>EDUCATION</w:t>
      </w:r>
    </w:p>
    <w:p>
      <w:pPr>
        <w:pStyle w:val="Normal"/>
        <w:pBdr>
          <w:bottom w:val="single" w:sz="6" w:space="0" w:color="C8102E"/>
        </w:pBdr>
        <w:rPr/>
      </w:pPr>
      <w:r>
        <w:rPr/>
      </w:r>
    </w:p>
    <w:p>
      <w:pPr>
        <w:pStyle w:val="Normal"/>
        <w:spacing w:before="180" w:after="30"/>
        <w:rPr/>
      </w:pPr>
      <w:r>
        <w:rPr>
          <w:b/>
          <w:bCs/>
          <w:color w:val="1B2A4A"/>
          <w:sz w:val="22"/>
          <w:szCs w:val="22"/>
        </w:rPr>
        <w:t>Master of Business Administration (Finance)</w:t>
      </w:r>
      <w:r>
        <w:rPr>
          <w:color w:val="5A5A5A"/>
          <w:sz w:val="22"/>
          <w:szCs w:val="22"/>
        </w:rPr>
        <w:t xml:space="preserve"> |    </w:t>
      </w:r>
      <w:r>
        <w:rPr>
          <w:i/>
          <w:iCs/>
          <w:color w:val="5A5A5A"/>
        </w:rPr>
        <w:t>2011 – 2014</w:t>
      </w:r>
    </w:p>
    <w:p>
      <w:pPr>
        <w:pStyle w:val="Normal"/>
        <w:spacing w:before="0" w:after="60"/>
        <w:rPr/>
      </w:pPr>
      <w:r>
        <w:rPr>
          <w:b/>
          <w:bCs/>
          <w:color w:val="5A5A5A"/>
        </w:rPr>
        <w:t>Symbiosis University, Pune</w:t>
      </w:r>
    </w:p>
    <w:p>
      <w:pPr>
        <w:pStyle w:val="Normal"/>
        <w:spacing w:before="180" w:after="30"/>
        <w:rPr/>
      </w:pPr>
      <w:r>
        <w:rPr>
          <w:b/>
          <w:bCs/>
          <w:color w:val="1B2A4A"/>
          <w:sz w:val="22"/>
          <w:szCs w:val="22"/>
        </w:rPr>
        <w:t>Bachelor of Commerce</w:t>
      </w:r>
      <w:r>
        <w:rPr>
          <w:color w:val="5A5A5A"/>
          <w:sz w:val="22"/>
          <w:szCs w:val="22"/>
        </w:rPr>
        <w:t xml:space="preserve">    |    </w:t>
      </w:r>
      <w:r>
        <w:rPr>
          <w:i/>
          <w:iCs/>
          <w:color w:val="5A5A5A"/>
        </w:rPr>
        <w:t>2007 – 2010</w:t>
      </w:r>
    </w:p>
    <w:p>
      <w:pPr>
        <w:pStyle w:val="Normal"/>
        <w:spacing w:before="0" w:after="60"/>
        <w:rPr>
          <w:b/>
          <w:b/>
          <w:bCs/>
          <w:color w:val="5A5A5A"/>
        </w:rPr>
      </w:pPr>
      <w:r>
        <w:rPr>
          <w:b/>
          <w:bCs/>
          <w:color w:val="5A5A5A"/>
        </w:rPr>
        <w:t>Sri Jagadguru Renukacharya College of Commerce, Science and Arts, Bengaluru</w:t>
      </w:r>
    </w:p>
    <w:p>
      <w:pPr>
        <w:pStyle w:val="Normal"/>
        <w:spacing w:before="0" w:after="60"/>
        <w:rPr>
          <w:b/>
          <w:b/>
          <w:bCs/>
          <w:color w:val="5A5A5A"/>
        </w:rPr>
      </w:pPr>
      <w:r>
        <w:rPr>
          <w:b/>
          <w:bCs/>
          <w:color w:val="5A5A5A"/>
        </w:rPr>
      </w:r>
    </w:p>
    <w:p>
      <w:pPr>
        <w:pStyle w:val="Normal"/>
        <w:spacing w:before="0" w:after="60"/>
        <w:rPr/>
      </w:pPr>
      <w:r>
        <w:rPr/>
      </w:r>
    </w:p>
    <w:p>
      <w:pPr>
        <w:pStyle w:val="Normal"/>
        <w:spacing w:before="220" w:after="60"/>
        <w:rPr/>
      </w:pPr>
      <w:r>
        <w:rPr>
          <w:b/>
          <w:bCs/>
          <w:color w:val="1B2A4A"/>
          <w:spacing w:val="40"/>
          <w:sz w:val="22"/>
          <w:szCs w:val="22"/>
        </w:rPr>
        <w:t>CERTIFICATIONS &amp; PROFESSIONAL DEVELOPMENT</w:t>
      </w:r>
    </w:p>
    <w:p>
      <w:pPr>
        <w:pStyle w:val="Normal"/>
        <w:pBdr>
          <w:bottom w:val="single" w:sz="6" w:space="0" w:color="C8102E"/>
        </w:pBdr>
        <w:rPr/>
      </w:pPr>
      <w:r>
        <w:rPr/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/>
        <w:t>SAP Concur Expense Certified Implementation Professional (CIP) — SAP Concur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/>
        <w:t>SAP S/4HANA Finance Integration — working knowledge of BAPI postings, FBCJ, and expense-to-GL mapping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/>
        <w:t>Power BI – Data Visualization &amp; Reporting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/>
        <w:t>Idea Alchemist (AI Innovation Facilitator) AI session design, idea shaping, and innovation facilitation</w:t>
      </w:r>
    </w:p>
    <w:p>
      <w:pPr>
        <w:pStyle w:val="Normal"/>
        <w:spacing w:before="220" w:after="60"/>
        <w:rPr/>
      </w:pPr>
      <w:r>
        <w:rPr>
          <w:b/>
          <w:bCs/>
          <w:color w:val="1B2A4A"/>
          <w:spacing w:val="40"/>
          <w:sz w:val="22"/>
          <w:szCs w:val="22"/>
        </w:rPr>
        <w:t>PROFESSIONAL HIGHLIGHTS</w:t>
      </w:r>
    </w:p>
    <w:p>
      <w:pPr>
        <w:pStyle w:val="Normal"/>
        <w:pBdr>
          <w:bottom w:val="single" w:sz="6" w:space="0" w:color="C8102E"/>
        </w:pBdr>
        <w:rPr/>
      </w:pPr>
      <w:r>
        <w:rPr/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/>
        <w:t>SAP Concur Partner 'Perfect Pitch' participant — selected to represent firm in SAP partner competition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/>
        <w:t>Published author: two industry blogs on Travel &amp; Expense Essentials and AI-Powered Audit in SAP Concur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/>
        <w:t>Active contributor to Accenture's Concur CoE capability-building initiative</w:t>
      </w:r>
    </w:p>
    <w:p>
      <w:pPr>
        <w:pStyle w:val="Normal"/>
        <w:spacing w:before="280" w:after="0"/>
        <w:rPr/>
      </w:pPr>
      <w:r>
        <w:rPr/>
      </w:r>
    </w:p>
    <w:p>
      <w:pPr>
        <w:pStyle w:val="Normal"/>
        <w:pBdr>
          <w:bottom w:val="single" w:sz="4" w:space="0" w:color="E8EBF0"/>
        </w:pBdr>
        <w:rPr/>
      </w:pPr>
      <w:r>
        <w:rPr/>
      </w:r>
    </w:p>
    <w:p>
      <w:pPr>
        <w:pStyle w:val="Normal"/>
        <w:spacing w:before="60" w:after="0"/>
        <w:jc w:val="center"/>
        <w:rPr/>
      </w:pPr>
      <w:r>
        <w:rPr>
          <w:i/>
          <w:iCs/>
          <w:color w:val="5A5A5A"/>
          <w:sz w:val="16"/>
          <w:szCs w:val="16"/>
        </w:rPr>
        <mc:AlternateContent>
          <mc:Choice Requires="wps">
            <w:drawing>
              <wp:anchor behindDoc="0" distT="0" distB="0" distL="114300" distR="100965" simplePos="0" locked="0" layoutInCell="0" allowOverlap="1" relativeHeight="2">
                <wp:simplePos x="0" y="0"/>
                <wp:positionH relativeFrom="column">
                  <wp:posOffset>635</wp:posOffset>
                </wp:positionH>
                <wp:positionV relativeFrom="paragraph">
                  <wp:posOffset>635</wp:posOffset>
                </wp:positionV>
                <wp:extent cx="12700" cy="12700"/>
                <wp:effectExtent l="635" t="0" r="0" b="0"/>
                <wp:wrapNone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12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f" style="position:absolute;margin-left:0.05pt;margin-top:0pt;width:0.95pt;height:0.95pt;mso-wrap-style:none;v-text-anchor:middle" type="_x0000_t75">
                <v:fill o:detectmouseclick="t" on="false"/>
                <v:stroke color="#3465a4" joinstyle="round" endcap="flat"/>
                <w10:wrap type="none"/>
              </v:shape>
            </w:pict>
          </mc:Fallback>
        </mc:AlternateContent>
      </w:r>
      <w:r>
        <w:rPr>
          <w:i/>
          <w:iCs/>
          <w:color w:val="5A5A5A"/>
          <w:sz w:val="16"/>
          <w:szCs w:val="16"/>
        </w:rPr>
        <w:t>References and extended project details available upon request</w:t>
      </w:r>
    </w:p>
    <w:sectPr>
      <w:type w:val="nextPage"/>
      <w:pgSz w:w="12240" w:h="15840"/>
      <w:pgMar w:left="1080" w:right="1080" w:gutter="0" w:header="0" w:top="900" w:footer="0" w:bottom="90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▪"/>
      <w:lvlJc w:val="left"/>
      <w:pPr>
        <w:tabs>
          <w:tab w:val="num" w:pos="0"/>
        </w:tabs>
        <w:ind w:left="480" w:hanging="280"/>
      </w:pPr>
      <w:rPr>
        <w:rFonts w:ascii="OpenSymbol" w:hAnsi="OpenSymbol" w:cs="OpenSymbol" w:hint="default"/>
      </w:rPr>
    </w:lvl>
    <w:lvl w:ilvl="1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bullet"/>
      <w:lvlText w:val="◦"/>
      <w:lvlJc w:val="left"/>
      <w:pPr>
        <w:tabs>
          <w:tab w:val="num" w:pos="0"/>
        </w:tabs>
        <w:ind w:left="800" w:hanging="280"/>
      </w:pPr>
      <w:rPr>
        <w:rFonts w:ascii="OpenSymbol" w:hAnsi="OpenSymbol" w:cs="OpenSymbol" w:hint="default"/>
      </w:rPr>
    </w:lvl>
    <w:lvl w:ilvl="1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color w:val="1A1A1A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1A1A1A"/>
      <w:kern w:val="0"/>
      <w:sz w:val="20"/>
      <w:szCs w:val="20"/>
      <w:lang w:val="en-US" w:eastAsia="en-US" w:bidi="ar-SA"/>
    </w:rPr>
  </w:style>
  <w:style w:type="paragraph" w:styleId="Heading1">
    <w:name w:val="Heading 1"/>
    <w:uiPriority w:val="9"/>
    <w:qFormat/>
    <w:pPr>
      <w:widowControl/>
      <w:bidi w:val="0"/>
      <w:spacing w:before="0" w:after="0"/>
      <w:jc w:val="left"/>
      <w:outlineLvl w:val="0"/>
    </w:pPr>
    <w:rPr>
      <w:rFonts w:ascii="Calibri" w:hAnsi="Calibri" w:eastAsia="Calibri" w:cs="Calibri"/>
      <w:color w:val="2E74B5"/>
      <w:kern w:val="0"/>
      <w:sz w:val="32"/>
      <w:szCs w:val="32"/>
      <w:lang w:val="en-US" w:eastAsia="en-US" w:bidi="ar-SA"/>
    </w:rPr>
  </w:style>
  <w:style w:type="paragraph" w:styleId="Heading2">
    <w:name w:val="Heading 2"/>
    <w:uiPriority w:val="9"/>
    <w:semiHidden/>
    <w:unhideWhenUsed/>
    <w:qFormat/>
    <w:pPr>
      <w:widowControl/>
      <w:bidi w:val="0"/>
      <w:spacing w:before="0" w:after="0"/>
      <w:jc w:val="left"/>
      <w:outlineLvl w:val="1"/>
    </w:pPr>
    <w:rPr>
      <w:rFonts w:ascii="Calibri" w:hAnsi="Calibri" w:eastAsia="Calibri" w:cs="Calibri"/>
      <w:color w:val="2E74B5"/>
      <w:kern w:val="0"/>
      <w:sz w:val="26"/>
      <w:szCs w:val="26"/>
      <w:lang w:val="en-US" w:eastAsia="en-US" w:bidi="ar-SA"/>
    </w:rPr>
  </w:style>
  <w:style w:type="paragraph" w:styleId="Heading3">
    <w:name w:val="Heading 3"/>
    <w:uiPriority w:val="9"/>
    <w:semiHidden/>
    <w:unhideWhenUsed/>
    <w:qFormat/>
    <w:pPr>
      <w:widowControl/>
      <w:bidi w:val="0"/>
      <w:spacing w:before="0" w:after="0"/>
      <w:jc w:val="left"/>
      <w:outlineLvl w:val="2"/>
    </w:pPr>
    <w:rPr>
      <w:rFonts w:ascii="Calibri" w:hAnsi="Calibri" w:eastAsia="Calibri" w:cs="Calibri"/>
      <w:color w:val="1F4D78"/>
      <w:kern w:val="0"/>
      <w:sz w:val="24"/>
      <w:szCs w:val="24"/>
      <w:lang w:val="en-US" w:eastAsia="en-US" w:bidi="ar-SA"/>
    </w:rPr>
  </w:style>
  <w:style w:type="paragraph" w:styleId="Heading4">
    <w:name w:val="Heading 4"/>
    <w:uiPriority w:val="9"/>
    <w:semiHidden/>
    <w:unhideWhenUsed/>
    <w:qFormat/>
    <w:pPr>
      <w:widowControl/>
      <w:bidi w:val="0"/>
      <w:spacing w:before="0" w:after="0"/>
      <w:jc w:val="left"/>
      <w:outlineLvl w:val="3"/>
    </w:pPr>
    <w:rPr>
      <w:rFonts w:ascii="Calibri" w:hAnsi="Calibri" w:eastAsia="Calibri" w:cs="Calibri"/>
      <w:i/>
      <w:iCs/>
      <w:color w:val="2E74B5"/>
      <w:kern w:val="0"/>
      <w:sz w:val="20"/>
      <w:szCs w:val="20"/>
      <w:lang w:val="en-US" w:eastAsia="en-US" w:bidi="ar-SA"/>
    </w:rPr>
  </w:style>
  <w:style w:type="paragraph" w:styleId="Heading5">
    <w:name w:val="Heading 5"/>
    <w:uiPriority w:val="9"/>
    <w:semiHidden/>
    <w:unhideWhenUsed/>
    <w:qFormat/>
    <w:pPr>
      <w:widowControl/>
      <w:bidi w:val="0"/>
      <w:spacing w:before="0" w:after="0"/>
      <w:jc w:val="left"/>
      <w:outlineLvl w:val="4"/>
    </w:pPr>
    <w:rPr>
      <w:rFonts w:ascii="Calibri" w:hAnsi="Calibri" w:eastAsia="Calibri" w:cs="Calibri"/>
      <w:color w:val="2E74B5"/>
      <w:kern w:val="0"/>
      <w:sz w:val="20"/>
      <w:szCs w:val="20"/>
      <w:lang w:val="en-US" w:eastAsia="en-US" w:bidi="ar-SA"/>
    </w:rPr>
  </w:style>
  <w:style w:type="paragraph" w:styleId="Heading6">
    <w:name w:val="Heading 6"/>
    <w:uiPriority w:val="9"/>
    <w:semiHidden/>
    <w:unhideWhenUsed/>
    <w:qFormat/>
    <w:pPr>
      <w:widowControl/>
      <w:bidi w:val="0"/>
      <w:spacing w:before="0" w:after="0"/>
      <w:jc w:val="left"/>
      <w:outlineLvl w:val="5"/>
    </w:pPr>
    <w:rPr>
      <w:rFonts w:ascii="Calibri" w:hAnsi="Calibri" w:eastAsia="Calibri" w:cs="Calibri"/>
      <w:color w:val="1F4D78"/>
      <w:kern w:val="0"/>
      <w:sz w:val="20"/>
      <w:szCs w:val="20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Anchor">
    <w:name w:val="Footnote Reference"/>
    <w:rPr>
      <w:vertAlign w:val="superscript"/>
    </w:rPr>
  </w:style>
  <w:style w:type="character" w:styleId="FootnoteTextChar" w:customStyle="1">
    <w:name w:val="Footnote Text Char"/>
    <w:link w:val="Footnote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Anchor">
    <w:name w:val="Endnote Reference"/>
    <w:rPr>
      <w:vertAlign w:val="superscript"/>
    </w:rPr>
  </w:style>
  <w:style w:type="character" w:styleId="EndnoteTextChar" w:customStyle="1">
    <w:name w:val="Endnote Text Char"/>
    <w:link w:val="Endnote"/>
    <w:uiPriority w:val="99"/>
    <w:semiHidden/>
    <w:unhideWhenUsed/>
    <w:qFormat/>
    <w:rPr>
      <w:sz w:val="20"/>
      <w:szCs w:val="20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sid w:val="00f67180"/>
    <w:rPr>
      <w:color w:val="605E5C"/>
      <w:shd w:fill="E1DFDD" w:val="clear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  <w:lang w:val="zxx" w:eastAsia="zxx" w:bidi="zxx"/>
    </w:rPr>
  </w:style>
  <w:style w:type="paragraph" w:styleId="Title">
    <w:name w:val="Title"/>
    <w:uiPriority w:val="10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1A1A1A"/>
      <w:kern w:val="0"/>
      <w:sz w:val="56"/>
      <w:szCs w:val="56"/>
      <w:lang w:val="en-US" w:eastAsia="en-US" w:bidi="ar-SA"/>
    </w:rPr>
  </w:style>
  <w:style w:type="paragraph" w:styleId="Strong1" w:customStyle="1">
    <w:name w:val="Strong1"/>
    <w:qFormat/>
    <w:pPr>
      <w:widowControl/>
      <w:bidi w:val="0"/>
      <w:spacing w:before="0" w:after="0"/>
      <w:jc w:val="left"/>
    </w:pPr>
    <w:rPr>
      <w:rFonts w:ascii="Calibri" w:hAnsi="Calibri" w:eastAsia="Calibri" w:cs="Calibri"/>
      <w:b/>
      <w:bCs/>
      <w:color w:val="1A1A1A"/>
      <w:kern w:val="0"/>
      <w:sz w:val="20"/>
      <w:szCs w:val="20"/>
      <w:lang w:val="en-US" w:eastAsia="en-US" w:bidi="ar-SA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1A1A1A"/>
      <w:kern w:val="0"/>
      <w:sz w:val="20"/>
      <w:szCs w:val="20"/>
      <w:lang w:val="en-US" w:eastAsia="en-US" w:bidi="ar-SA"/>
    </w:rPr>
  </w:style>
  <w:style w:type="paragraph" w:styleId="Footnote">
    <w:name w:val="Footnote Text"/>
    <w:link w:val="FootnoteTextChar"/>
    <w:uiPriority w:val="99"/>
    <w:semiHidden/>
    <w:unhideWhenUsed/>
    <w:pPr>
      <w:widowControl/>
      <w:bidi w:val="0"/>
      <w:spacing w:before="0" w:after="0"/>
      <w:jc w:val="left"/>
    </w:pPr>
    <w:rPr>
      <w:rFonts w:ascii="Calibri" w:hAnsi="Calibri" w:eastAsia="Calibri" w:cs="Calibri"/>
      <w:color w:val="1A1A1A"/>
      <w:kern w:val="0"/>
      <w:sz w:val="20"/>
      <w:szCs w:val="20"/>
      <w:lang w:val="en-US" w:eastAsia="en-US" w:bidi="ar-SA"/>
    </w:rPr>
  </w:style>
  <w:style w:type="paragraph" w:styleId="Endnote">
    <w:name w:val="Endnote Text"/>
    <w:link w:val="EndnoteTextChar"/>
    <w:uiPriority w:val="99"/>
    <w:semiHidden/>
    <w:unhideWhenUsed/>
    <w:pPr>
      <w:widowControl/>
      <w:bidi w:val="0"/>
      <w:spacing w:before="0" w:after="0"/>
      <w:jc w:val="left"/>
    </w:pPr>
    <w:rPr>
      <w:rFonts w:ascii="Calibri" w:hAnsi="Calibri" w:eastAsia="Calibri" w:cs="Calibri"/>
      <w:color w:val="1A1A1A"/>
      <w:kern w:val="0"/>
      <w:sz w:val="20"/>
      <w:szCs w:val="20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Application>LibreOffice/7.4.2.3$Linux_X86_64 LibreOffice_project/40$Build-3</Application>
  <AppVersion>15.0000</AppVersion>
  <Pages>4</Pages>
  <Words>919</Words>
  <Characters>5820</Characters>
  <CharactersWithSpaces>6678</CharactersWithSpaces>
  <Paragraphs>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2026-06-11T13:22:00Z</dcterms:created>
  <dc:creator>Un-named</dc:creator>
  <dc:description/>
  <dc:language>en-IN</dc:language>
  <cp:lastModifiedBy>Ashwath, Kishan</cp:lastModifiedBy>
  <dcterms:modified xsi:type="dcterms:W3CDTF">2026-06-11T14:00:00Z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