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8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96"/>
        <w:gridCol w:w="36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trPr>
        <w:tc>
          <w:tcPr>
            <w:tcW w:w="7196" w:type="dxa"/>
            <w:shd w:val="clear" w:color="auto" w:fill="F1F1F1" w:themeFill="background1" w:themeFillShade="F2"/>
          </w:tcPr>
          <w:p>
            <w:pPr>
              <w:spacing w:after="0" w:line="240" w:lineRule="auto"/>
              <w:jc w:val="center"/>
              <w:rPr>
                <w:rFonts w:ascii="Cambria" w:hAnsi="Cambria"/>
                <w:b/>
                <w:color w:val="1F4E79" w:themeColor="accent1" w:themeShade="80"/>
                <w:sz w:val="40"/>
                <w:szCs w:val="32"/>
              </w:rPr>
            </w:pPr>
            <w:r>
              <w:rPr>
                <w:rFonts w:ascii="Cambria" w:hAnsi="Cambria"/>
                <w:b/>
                <w:color w:val="1F4E79" w:themeColor="accent1" w:themeShade="80"/>
                <w:sz w:val="40"/>
                <w:szCs w:val="32"/>
              </w:rPr>
              <w:t>KISHORE</w:t>
            </w:r>
          </w:p>
          <w:p>
            <w:pPr>
              <w:spacing w:after="0" w:line="240" w:lineRule="auto"/>
              <w:jc w:val="center"/>
              <w:rPr>
                <w:rFonts w:ascii="Cambria" w:hAnsi="Cambria"/>
                <w:caps/>
                <w:color w:val="1F4E79" w:themeColor="accent1" w:themeShade="80"/>
                <w:szCs w:val="18"/>
              </w:rPr>
            </w:pPr>
            <w:r>
              <w:rPr>
                <w:rFonts w:ascii="Cambria" w:hAnsi="Cambria"/>
                <w:caps/>
                <w:color w:val="1F4E79" w:themeColor="accent1" w:themeShade="80"/>
                <w:sz w:val="24"/>
                <w:szCs w:val="18"/>
              </w:rPr>
              <w:t xml:space="preserve"> Product sPECIALIST/ Business Analyst</w:t>
            </w:r>
          </w:p>
          <w:p>
            <w:pPr>
              <w:spacing w:after="0" w:line="240" w:lineRule="auto"/>
              <w:jc w:val="center"/>
              <w:rPr>
                <w:rFonts w:ascii="Cambria" w:hAnsi="Cambria"/>
                <w:sz w:val="10"/>
                <w:szCs w:val="10"/>
              </w:rPr>
            </w:pPr>
            <w:r>
              <w:rPr>
                <w:rFonts w:cstheme="minorHAnsi"/>
                <w:sz w:val="20"/>
                <w:szCs w:val="20"/>
              </w:rPr>
              <w:t xml:space="preserve">Business Analysis| Product Management </w:t>
            </w:r>
          </w:p>
        </w:tc>
        <w:tc>
          <w:tcPr>
            <w:tcW w:w="3618" w:type="dxa"/>
            <w:shd w:val="clear" w:color="auto" w:fill="1F4E79" w:themeFill="accent1" w:themeFillShade="80"/>
          </w:tcPr>
          <w:p>
            <w:pPr>
              <w:spacing w:after="0" w:line="360" w:lineRule="auto"/>
              <w:jc w:val="right"/>
              <w:rPr>
                <w:rFonts w:ascii="Cambria" w:hAnsi="Cambria"/>
                <w:color w:val="FFFFFF" w:themeColor="background1"/>
                <w:sz w:val="2"/>
                <w:szCs w:val="20"/>
              </w:rPr>
            </w:pPr>
          </w:p>
          <w:p>
            <w:pPr>
              <w:spacing w:after="0" w:line="360" w:lineRule="auto"/>
              <w:jc w:val="right"/>
              <w:rPr>
                <w:rFonts w:ascii="Cambria" w:hAnsi="Cambria"/>
                <w:color w:val="FFFFFF" w:themeColor="background1"/>
                <w:sz w:val="2"/>
                <w:szCs w:val="20"/>
              </w:rPr>
            </w:pPr>
          </w:p>
          <w:p>
            <w:pPr>
              <w:spacing w:after="0" w:line="360" w:lineRule="auto"/>
              <w:jc w:val="right"/>
              <w:rPr>
                <w:rFonts w:ascii="Cambria" w:hAnsi="Cambria"/>
                <w:color w:val="FFFFFF" w:themeColor="background1"/>
                <w:sz w:val="2"/>
                <w:szCs w:val="20"/>
              </w:rPr>
            </w:pPr>
          </w:p>
          <w:p>
            <w:pPr>
              <w:spacing w:after="0" w:line="360" w:lineRule="auto"/>
              <w:jc w:val="right"/>
              <w:rPr>
                <w:rFonts w:ascii="Cambria" w:hAnsi="Cambria"/>
                <w:color w:val="FFFFFF" w:themeColor="background1"/>
                <w:sz w:val="2"/>
                <w:szCs w:val="20"/>
              </w:rPr>
            </w:pPr>
          </w:p>
          <w:p>
            <w:pPr>
              <w:spacing w:after="0" w:line="360" w:lineRule="auto"/>
              <w:jc w:val="right"/>
              <w:rPr>
                <w:rFonts w:ascii="Cambria" w:hAnsi="Cambria"/>
                <w:color w:val="FFFFFF" w:themeColor="background1"/>
                <w:sz w:val="2"/>
                <w:szCs w:val="20"/>
              </w:rPr>
            </w:pPr>
          </w:p>
          <w:p>
            <w:pPr>
              <w:spacing w:after="0" w:line="360" w:lineRule="auto"/>
              <w:jc w:val="right"/>
              <w:rPr>
                <w:rFonts w:ascii="Cambria" w:hAnsi="Cambria"/>
                <w:color w:val="FFFFFF" w:themeColor="background1"/>
                <w:sz w:val="2"/>
                <w:szCs w:val="20"/>
              </w:rPr>
            </w:pPr>
          </w:p>
          <w:p>
            <w:pPr>
              <w:spacing w:after="0" w:line="276" w:lineRule="auto"/>
              <w:jc w:val="right"/>
              <w:rPr>
                <w:rFonts w:ascii="Cambria" w:hAnsi="Cambria"/>
                <w:color w:val="FFFFFF" w:themeColor="background1"/>
                <w:sz w:val="20"/>
                <w:szCs w:val="20"/>
              </w:rPr>
            </w:pPr>
            <w:r>
              <w:rPr>
                <w:rFonts w:ascii="Cambria" w:hAnsi="Cambria"/>
                <w:color w:val="FFFFFF" w:themeColor="background1"/>
                <w:sz w:val="20"/>
                <w:szCs w:val="20"/>
              </w:rPr>
              <w:t>Phone:889</w:t>
            </w:r>
            <w:bookmarkStart w:id="0" w:name="_GoBack"/>
            <w:bookmarkEnd w:id="0"/>
            <w:r>
              <w:rPr>
                <w:rFonts w:ascii="Cambria" w:hAnsi="Cambria"/>
                <w:color w:val="FFFFFF" w:themeColor="background1"/>
                <w:sz w:val="20"/>
                <w:szCs w:val="20"/>
              </w:rPr>
              <w:t>7009749</w:t>
            </w:r>
          </w:p>
          <w:p>
            <w:pPr>
              <w:spacing w:after="0" w:line="276" w:lineRule="auto"/>
              <w:jc w:val="right"/>
              <w:rPr>
                <w:rFonts w:ascii="Cambria" w:hAnsi="Cambria"/>
                <w:color w:val="FFFFFF" w:themeColor="background1"/>
                <w:sz w:val="20"/>
                <w:szCs w:val="20"/>
              </w:rPr>
            </w:pPr>
            <w:r>
              <w:rPr>
                <w:rFonts w:ascii="Cambria" w:hAnsi="Cambria"/>
                <w:color w:val="FFFFFF" w:themeColor="background1"/>
                <w:sz w:val="20"/>
                <w:szCs w:val="20"/>
              </w:rPr>
              <w:t>Email:</w:t>
            </w:r>
            <w:r>
              <w:rPr>
                <w:rFonts w:hint="default" w:ascii="Cambria" w:hAnsi="Cambria"/>
                <w:color w:val="FFFFFF" w:themeColor="background1"/>
                <w:sz w:val="20"/>
                <w:szCs w:val="20"/>
                <w:lang w:val="en-US"/>
              </w:rPr>
              <w:t xml:space="preserve"> </w:t>
            </w:r>
            <w:r>
              <w:rPr>
                <w:rFonts w:ascii="Cambria" w:hAnsi="Cambria"/>
                <w:color w:val="FFFFFF" w:themeColor="background1"/>
                <w:sz w:val="20"/>
                <w:szCs w:val="20"/>
              </w:rPr>
              <w:t>k</w:t>
            </w:r>
            <w:r>
              <w:rPr>
                <w:rFonts w:hint="default" w:ascii="Cambria" w:hAnsi="Cambria"/>
                <w:color w:val="FFFFFF" w:themeColor="background1"/>
                <w:sz w:val="20"/>
                <w:szCs w:val="20"/>
                <w:lang w:val="en-US"/>
              </w:rPr>
              <w:t>i</w:t>
            </w:r>
            <w:r>
              <w:rPr>
                <w:rFonts w:ascii="Cambria" w:hAnsi="Cambria"/>
                <w:color w:val="FFFFFF" w:themeColor="background1"/>
                <w:sz w:val="20"/>
                <w:szCs w:val="20"/>
              </w:rPr>
              <w:t>shore</w:t>
            </w:r>
            <w:r>
              <w:rPr>
                <w:rFonts w:hint="default" w:ascii="Cambria" w:hAnsi="Cambria"/>
                <w:color w:val="FFFFFF" w:themeColor="background1"/>
                <w:sz w:val="20"/>
                <w:szCs w:val="20"/>
                <w:lang w:val="en-US"/>
              </w:rPr>
              <w:t>.mogali</w:t>
            </w:r>
            <w:r>
              <w:rPr>
                <w:rFonts w:ascii="Cambria" w:hAnsi="Cambria"/>
                <w:color w:val="FFFFFF" w:themeColor="background1"/>
                <w:sz w:val="20"/>
                <w:szCs w:val="20"/>
              </w:rPr>
              <w:t>@gmail.com</w:t>
            </w:r>
          </w:p>
          <w:p>
            <w:pPr>
              <w:spacing w:after="0" w:line="276" w:lineRule="auto"/>
              <w:jc w:val="right"/>
              <w:rPr>
                <w:rFonts w:ascii="Cambria" w:hAnsi="Cambria"/>
                <w:color w:val="FFFFFF" w:themeColor="background1"/>
                <w:sz w:val="20"/>
                <w:szCs w:val="20"/>
              </w:rPr>
            </w:pPr>
          </w:p>
        </w:tc>
      </w:tr>
    </w:tbl>
    <w:p>
      <w:pPr>
        <w:spacing w:after="0"/>
        <w:jc w:val="both"/>
        <w:rPr>
          <w:sz w:val="20"/>
          <w:szCs w:val="20"/>
        </w:rPr>
      </w:pPr>
    </w:p>
    <w:p>
      <w:pPr>
        <w:spacing w:after="0"/>
        <w:jc w:val="both"/>
        <w:rPr>
          <w:rFonts w:cstheme="minorHAnsi"/>
          <w:sz w:val="19"/>
          <w:szCs w:val="19"/>
        </w:rPr>
      </w:pPr>
      <w:r>
        <w:rPr>
          <w:rFonts w:cstheme="minorHAnsi"/>
          <w:sz w:val="19"/>
          <w:szCs w:val="19"/>
        </w:rPr>
        <w:t xml:space="preserve">Passionate, value-driven Product Management Professional with </w:t>
      </w:r>
      <w:r>
        <w:rPr>
          <w:rFonts w:cstheme="minorHAnsi"/>
          <w:b/>
          <w:bCs/>
          <w:sz w:val="19"/>
          <w:szCs w:val="19"/>
        </w:rPr>
        <w:t>16+ years</w:t>
      </w:r>
      <w:r>
        <w:rPr>
          <w:rFonts w:cstheme="minorHAnsi"/>
          <w:sz w:val="19"/>
          <w:szCs w:val="19"/>
        </w:rPr>
        <w:t xml:space="preserve"> of onsite &amp; offshore experience leading cross-functional teamsvarious global locations of North America, APAC and EMEA. Blend domain knowledge, technology skills with extensive Agile/Scrum experience.Presently working at Synechron Technologies as </w:t>
      </w:r>
      <w:r>
        <w:rPr>
          <w:rFonts w:cstheme="minorHAnsi"/>
          <w:b/>
          <w:bCs/>
          <w:sz w:val="19"/>
          <w:szCs w:val="19"/>
        </w:rPr>
        <w:t>Manager- Product Management</w:t>
      </w:r>
      <w:r>
        <w:rPr>
          <w:rFonts w:cstheme="minorHAnsi"/>
          <w:sz w:val="19"/>
          <w:szCs w:val="19"/>
        </w:rPr>
        <w:t xml:space="preserve"> – Exposure in Investment Banking, Regulatory Reporting, Data Goveranance, OTC, Market Data and Asset Management.</w:t>
      </w:r>
    </w:p>
    <w:p>
      <w:pPr>
        <w:spacing w:after="0"/>
        <w:jc w:val="both"/>
        <w:rPr>
          <w:rFonts w:cstheme="minorHAnsi"/>
          <w:sz w:val="19"/>
          <w:szCs w:val="19"/>
        </w:rPr>
      </w:pPr>
    </w:p>
    <w:p>
      <w:pPr>
        <w:spacing w:after="0"/>
        <w:jc w:val="both"/>
        <w:rPr>
          <w:b/>
          <w:bCs/>
          <w:i/>
          <w:iCs/>
          <w:sz w:val="10"/>
          <w:szCs w:val="10"/>
        </w:rPr>
      </w:pPr>
    </w:p>
    <w:p>
      <w:pPr>
        <w:pBdr>
          <w:top w:val="dotted" w:color="auto" w:sz="4" w:space="0"/>
          <w:bottom w:val="dotted" w:color="auto" w:sz="4" w:space="1"/>
        </w:pBdr>
        <w:spacing w:after="0" w:line="240" w:lineRule="auto"/>
        <w:jc w:val="center"/>
        <w:rPr>
          <w:rFonts w:eastAsia="Arial Unicode MS" w:cstheme="minorHAnsi"/>
          <w:b/>
          <w:smallCaps/>
          <w:color w:val="365F91"/>
          <w:spacing w:val="38"/>
          <w:sz w:val="20"/>
          <w:szCs w:val="20"/>
        </w:rPr>
      </w:pPr>
      <w:r>
        <w:rPr>
          <w:rFonts w:eastAsia="Arial Unicode MS" w:cstheme="minorHAnsi"/>
          <w:b/>
          <w:smallCaps/>
          <w:color w:val="365F91"/>
          <w:spacing w:val="38"/>
          <w:sz w:val="20"/>
          <w:szCs w:val="20"/>
        </w:rPr>
        <w:t>Signature Skills</w:t>
      </w:r>
    </w:p>
    <w:tbl>
      <w:tblPr>
        <w:tblStyle w:val="12"/>
        <w:tblW w:w="11045"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34"/>
        <w:gridCol w:w="9311"/>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85" w:hRule="atLeast"/>
        </w:trPr>
        <w:tc>
          <w:tcPr>
            <w:tcW w:w="1241" w:type="dxa"/>
            <w:tcBorders>
              <w:top w:val="nil"/>
              <w:left w:val="nil"/>
              <w:bottom w:val="single" w:color="auto" w:sz="4" w:space="0"/>
              <w:right w:val="nil"/>
            </w:tcBorders>
            <w:shd w:val="clear" w:color="auto" w:fill="1F4E79" w:themeFill="accent1" w:themeFillShade="80"/>
          </w:tcPr>
          <w:p>
            <w:pPr>
              <w:pStyle w:val="16"/>
              <w:jc w:val="center"/>
              <w:rPr>
                <w:rFonts w:cstheme="minorHAnsi"/>
                <w:b/>
                <w:sz w:val="20"/>
                <w:szCs w:val="20"/>
              </w:rPr>
            </w:pPr>
          </w:p>
          <w:p>
            <w:pPr>
              <w:pStyle w:val="16"/>
              <w:jc w:val="center"/>
              <w:rPr>
                <w:rFonts w:cstheme="minorHAnsi"/>
                <w:b/>
                <w:sz w:val="20"/>
                <w:szCs w:val="20"/>
              </w:rPr>
            </w:pPr>
          </w:p>
          <w:p>
            <w:pPr>
              <w:pStyle w:val="16"/>
              <w:jc w:val="center"/>
              <w:rPr>
                <w:rFonts w:cstheme="minorHAnsi"/>
                <w:b/>
                <w:sz w:val="20"/>
                <w:szCs w:val="20"/>
              </w:rPr>
            </w:pPr>
            <w:r>
              <w:rPr>
                <w:rFonts w:cstheme="minorHAnsi"/>
                <w:b/>
                <w:color w:val="FFFFFF" w:themeColor="background1"/>
                <w:sz w:val="20"/>
                <w:szCs w:val="20"/>
              </w:rPr>
              <w:t>Key Skills</w:t>
            </w:r>
          </w:p>
        </w:tc>
        <w:tc>
          <w:tcPr>
            <w:tcW w:w="9804" w:type="dxa"/>
            <w:tcBorders>
              <w:top w:val="nil"/>
              <w:left w:val="nil"/>
              <w:bottom w:val="single" w:color="auto" w:sz="4" w:space="0"/>
              <w:right w:val="nil"/>
            </w:tcBorders>
          </w:tcPr>
          <w:p>
            <w:pPr>
              <w:pStyle w:val="16"/>
              <w:rPr>
                <w:rFonts w:cstheme="minorHAnsi"/>
                <w:sz w:val="19"/>
                <w:szCs w:val="19"/>
              </w:rPr>
            </w:pPr>
            <w:r>
              <w:rPr>
                <w:rFonts w:cstheme="minorHAnsi"/>
                <w:sz w:val="19"/>
                <w:szCs w:val="19"/>
              </w:rPr>
              <w:t>~ Equities/Derivatives/Fixed Income/OTC         ~ SQL/Oracle/ Unix</w:t>
            </w:r>
            <w:r>
              <w:rPr>
                <w:rFonts w:cstheme="minorHAnsi"/>
                <w:sz w:val="19"/>
                <w:szCs w:val="19"/>
              </w:rPr>
              <w:tab/>
            </w:r>
            <w:r>
              <w:rPr>
                <w:rFonts w:cstheme="minorHAnsi"/>
                <w:sz w:val="19"/>
                <w:szCs w:val="19"/>
              </w:rPr>
              <w:t xml:space="preserve">~ FIX Protocol/Exchange Connectivity                             </w:t>
            </w:r>
          </w:p>
          <w:p>
            <w:pPr>
              <w:pStyle w:val="16"/>
              <w:rPr>
                <w:rFonts w:cstheme="minorHAnsi"/>
                <w:sz w:val="19"/>
                <w:szCs w:val="19"/>
              </w:rPr>
            </w:pPr>
            <w:r>
              <w:rPr>
                <w:rFonts w:cstheme="minorHAnsi"/>
                <w:sz w:val="19"/>
                <w:szCs w:val="19"/>
              </w:rPr>
              <w:t>~ Process Optimization</w:t>
            </w:r>
            <w:r>
              <w:rPr>
                <w:rFonts w:cstheme="minorHAnsi"/>
                <w:sz w:val="19"/>
                <w:szCs w:val="19"/>
              </w:rPr>
              <w:tab/>
            </w:r>
            <w:r>
              <w:rPr>
                <w:rFonts w:cstheme="minorHAnsi"/>
                <w:sz w:val="19"/>
                <w:szCs w:val="19"/>
              </w:rPr>
              <w:tab/>
            </w:r>
            <w:r>
              <w:rPr>
                <w:rFonts w:cstheme="minorHAnsi"/>
                <w:sz w:val="19"/>
                <w:szCs w:val="19"/>
              </w:rPr>
              <w:t>~ Risk Management</w:t>
            </w:r>
            <w:r>
              <w:rPr>
                <w:rFonts w:cstheme="minorHAnsi"/>
                <w:sz w:val="19"/>
                <w:szCs w:val="19"/>
              </w:rPr>
              <w:tab/>
            </w:r>
            <w:r>
              <w:rPr>
                <w:rFonts w:cstheme="minorHAnsi"/>
                <w:sz w:val="19"/>
                <w:szCs w:val="19"/>
              </w:rPr>
              <w:t>~ OMS/ECN’s/Bloombeg</w:t>
            </w:r>
          </w:p>
          <w:p>
            <w:pPr>
              <w:pStyle w:val="16"/>
              <w:rPr>
                <w:rFonts w:cstheme="minorHAnsi"/>
                <w:sz w:val="19"/>
                <w:szCs w:val="19"/>
              </w:rPr>
            </w:pPr>
            <w:r>
              <w:rPr>
                <w:rFonts w:cstheme="minorHAnsi"/>
                <w:sz w:val="19"/>
                <w:szCs w:val="19"/>
              </w:rPr>
              <w:t>~ Stakeholder Management</w:t>
            </w:r>
            <w:r>
              <w:rPr>
                <w:rFonts w:cstheme="minorHAnsi"/>
                <w:sz w:val="19"/>
                <w:szCs w:val="19"/>
              </w:rPr>
              <w:tab/>
            </w:r>
            <w:r>
              <w:rPr>
                <w:rFonts w:cstheme="minorHAnsi"/>
                <w:sz w:val="19"/>
                <w:szCs w:val="19"/>
              </w:rPr>
              <w:tab/>
            </w:r>
            <w:r>
              <w:rPr>
                <w:rFonts w:cstheme="minorHAnsi"/>
                <w:sz w:val="19"/>
                <w:szCs w:val="19"/>
              </w:rPr>
              <w:t xml:space="preserve">~ Legacy Modernization~ Fidessa/Calypso/Murex Systems                       </w:t>
            </w:r>
          </w:p>
          <w:p>
            <w:pPr>
              <w:pStyle w:val="16"/>
              <w:rPr>
                <w:rFonts w:cstheme="minorHAnsi"/>
                <w:sz w:val="19"/>
                <w:szCs w:val="19"/>
              </w:rPr>
            </w:pPr>
            <w:r>
              <w:rPr>
                <w:rFonts w:cstheme="minorHAnsi"/>
                <w:sz w:val="19"/>
                <w:szCs w:val="19"/>
              </w:rPr>
              <w:t>~ Technology/Ops Transformation</w:t>
            </w:r>
            <w:r>
              <w:rPr>
                <w:rFonts w:cstheme="minorHAnsi"/>
                <w:sz w:val="19"/>
                <w:szCs w:val="19"/>
              </w:rPr>
              <w:tab/>
            </w:r>
            <w:r>
              <w:rPr>
                <w:rFonts w:cstheme="minorHAnsi"/>
                <w:sz w:val="19"/>
                <w:szCs w:val="19"/>
              </w:rPr>
              <w:t xml:space="preserve">~ People / Team Management </w:t>
            </w:r>
            <w:r>
              <w:rPr>
                <w:rFonts w:cstheme="minorHAnsi"/>
                <w:sz w:val="19"/>
                <w:szCs w:val="19"/>
              </w:rPr>
              <w:tab/>
            </w:r>
            <w:r>
              <w:rPr>
                <w:rFonts w:cstheme="minorHAnsi"/>
                <w:sz w:val="19"/>
                <w:szCs w:val="19"/>
              </w:rPr>
              <w:t xml:space="preserve">~ Tableau/Axiom/Veritas              </w:t>
            </w:r>
          </w:p>
          <w:p>
            <w:pPr>
              <w:pStyle w:val="16"/>
              <w:rPr>
                <w:rFonts w:cstheme="minorHAnsi"/>
                <w:sz w:val="19"/>
                <w:szCs w:val="19"/>
              </w:rPr>
            </w:pPr>
            <w:r>
              <w:rPr>
                <w:rFonts w:cstheme="minorHAnsi"/>
                <w:sz w:val="19"/>
                <w:szCs w:val="19"/>
              </w:rPr>
              <w:t xml:space="preserve">~ Jira/Visio/HP-Quality Center ~ Test Strategy/Plan/UAT~ FIXML/FPML/JSON                             </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2" w:hRule="atLeast"/>
        </w:trPr>
        <w:tc>
          <w:tcPr>
            <w:tcW w:w="1241" w:type="dxa"/>
            <w:tcBorders>
              <w:top w:val="single" w:color="auto" w:sz="4" w:space="0"/>
              <w:left w:val="nil"/>
              <w:bottom w:val="nil"/>
              <w:right w:val="nil"/>
            </w:tcBorders>
            <w:shd w:val="clear" w:color="auto" w:fill="1F4E79" w:themeFill="accent1" w:themeFillShade="80"/>
          </w:tcPr>
          <w:p>
            <w:pPr>
              <w:pStyle w:val="16"/>
              <w:jc w:val="center"/>
              <w:rPr>
                <w:rFonts w:cstheme="minorHAnsi"/>
                <w:b/>
                <w:sz w:val="20"/>
                <w:szCs w:val="20"/>
              </w:rPr>
            </w:pPr>
          </w:p>
          <w:p>
            <w:pPr>
              <w:pStyle w:val="16"/>
              <w:jc w:val="center"/>
              <w:rPr>
                <w:rFonts w:cstheme="minorHAnsi"/>
                <w:b/>
                <w:color w:val="FFFFFF" w:themeColor="background1"/>
                <w:sz w:val="20"/>
                <w:szCs w:val="20"/>
              </w:rPr>
            </w:pPr>
          </w:p>
          <w:p>
            <w:pPr>
              <w:pStyle w:val="16"/>
              <w:jc w:val="center"/>
              <w:rPr>
                <w:rFonts w:cstheme="minorHAnsi"/>
                <w:b/>
                <w:sz w:val="20"/>
                <w:szCs w:val="20"/>
              </w:rPr>
            </w:pPr>
            <w:r>
              <w:rPr>
                <w:rFonts w:cstheme="minorHAnsi"/>
                <w:b/>
                <w:color w:val="FFFFFF" w:themeColor="background1"/>
                <w:sz w:val="20"/>
                <w:szCs w:val="20"/>
              </w:rPr>
              <w:t>Certifications</w:t>
            </w:r>
          </w:p>
        </w:tc>
        <w:tc>
          <w:tcPr>
            <w:tcW w:w="9804" w:type="dxa"/>
            <w:tcBorders>
              <w:top w:val="single" w:color="auto" w:sz="4" w:space="0"/>
              <w:left w:val="nil"/>
              <w:bottom w:val="nil"/>
              <w:right w:val="nil"/>
            </w:tcBorders>
          </w:tcPr>
          <w:p>
            <w:pPr>
              <w:pStyle w:val="16"/>
              <w:jc w:val="both"/>
              <w:rPr>
                <w:rFonts w:cstheme="minorHAnsi"/>
                <w:sz w:val="19"/>
                <w:szCs w:val="19"/>
              </w:rPr>
            </w:pPr>
            <w:r>
              <w:rPr>
                <w:rFonts w:cstheme="minorHAnsi"/>
                <w:sz w:val="19"/>
                <w:szCs w:val="19"/>
              </w:rPr>
              <w:t>Certified Agile Product Owner</w:t>
            </w:r>
          </w:p>
          <w:p>
            <w:pPr>
              <w:pStyle w:val="16"/>
              <w:jc w:val="both"/>
              <w:rPr>
                <w:rFonts w:cstheme="minorHAnsi"/>
                <w:sz w:val="19"/>
                <w:szCs w:val="19"/>
              </w:rPr>
            </w:pPr>
            <w:r>
              <w:rPr>
                <w:rFonts w:cstheme="minorHAnsi"/>
                <w:sz w:val="19"/>
                <w:szCs w:val="19"/>
              </w:rPr>
              <w:t>FRM (Financial Risk Manager) GARP - USA Level 1</w:t>
            </w:r>
          </w:p>
          <w:p>
            <w:pPr>
              <w:pStyle w:val="16"/>
              <w:jc w:val="both"/>
              <w:rPr>
                <w:rFonts w:cstheme="minorHAnsi"/>
                <w:sz w:val="19"/>
                <w:szCs w:val="19"/>
              </w:rPr>
            </w:pPr>
            <w:r>
              <w:rPr>
                <w:rFonts w:cstheme="minorHAnsi"/>
                <w:sz w:val="19"/>
                <w:szCs w:val="19"/>
              </w:rPr>
              <w:t>NCFM Certification (Capital, Derivatives, FX, MF, Commodity market)</w:t>
            </w:r>
          </w:p>
          <w:p>
            <w:pPr>
              <w:pStyle w:val="16"/>
              <w:jc w:val="both"/>
              <w:rPr>
                <w:rFonts w:cstheme="minorHAnsi"/>
                <w:sz w:val="19"/>
                <w:szCs w:val="19"/>
              </w:rPr>
            </w:pPr>
            <w:r>
              <w:rPr>
                <w:rFonts w:cstheme="minorHAnsi"/>
                <w:sz w:val="19"/>
                <w:szCs w:val="19"/>
              </w:rPr>
              <w:t>DTCC Learning courses – Asset servicing, Risk Mgmt., Margin</w:t>
            </w:r>
          </w:p>
          <w:p>
            <w:pPr>
              <w:pStyle w:val="16"/>
              <w:jc w:val="both"/>
              <w:rPr>
                <w:rFonts w:cstheme="minorHAnsi"/>
                <w:sz w:val="19"/>
                <w:szCs w:val="19"/>
              </w:rPr>
            </w:pPr>
          </w:p>
        </w:tc>
      </w:tr>
    </w:tbl>
    <w:p>
      <w:pPr>
        <w:spacing w:after="0"/>
        <w:jc w:val="both"/>
        <w:rPr>
          <w:b/>
          <w:bCs/>
          <w:i/>
          <w:iCs/>
          <w:sz w:val="10"/>
          <w:szCs w:val="10"/>
        </w:rPr>
      </w:pPr>
    </w:p>
    <w:p>
      <w:pPr>
        <w:pBdr>
          <w:top w:val="dotted" w:color="auto" w:sz="4" w:space="0"/>
          <w:bottom w:val="dotted" w:color="auto" w:sz="4" w:space="1"/>
        </w:pBdr>
        <w:spacing w:after="0" w:line="240" w:lineRule="auto"/>
        <w:jc w:val="center"/>
        <w:rPr>
          <w:rStyle w:val="22"/>
          <w:b w:val="0"/>
          <w:bCs w:val="0"/>
        </w:rPr>
      </w:pPr>
      <w:r>
        <w:rPr>
          <w:rStyle w:val="22"/>
          <w:b w:val="0"/>
          <w:bCs w:val="0"/>
        </w:rPr>
        <w:t xml:space="preserve">key responsibilitieshandled </w:t>
      </w:r>
    </w:p>
    <w:p>
      <w:pPr>
        <w:pBdr>
          <w:top w:val="dotted" w:color="auto" w:sz="4" w:space="0"/>
          <w:bottom w:val="dotted" w:color="auto" w:sz="4" w:space="1"/>
        </w:pBdr>
        <w:spacing w:after="0" w:line="240" w:lineRule="auto"/>
        <w:jc w:val="center"/>
        <w:rPr>
          <w:rStyle w:val="22"/>
          <w:b w:val="0"/>
          <w:bCs w:val="0"/>
        </w:rPr>
      </w:pPr>
      <w:r>
        <w:rPr>
          <w:rStyle w:val="22"/>
          <w:b w:val="0"/>
          <w:bCs w:val="0"/>
        </w:rPr>
        <w:t xml:space="preserve">product management | business analyst leader </w:t>
      </w:r>
    </w:p>
    <w:tbl>
      <w:tblPr>
        <w:tblStyle w:val="12"/>
        <w:tblW w:w="10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6"/>
        <w:gridCol w:w="56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0" w:hRule="atLeast"/>
        </w:trPr>
        <w:tc>
          <w:tcPr>
            <w:tcW w:w="5296" w:type="dxa"/>
          </w:tcPr>
          <w:p>
            <w:pPr>
              <w:spacing w:after="0" w:line="240" w:lineRule="auto"/>
              <w:jc w:val="both"/>
              <w:textAlignment w:val="baseline"/>
              <w:rPr>
                <w:rFonts w:eastAsia="Times New Roman" w:cstheme="minorHAnsi"/>
                <w:b/>
                <w:bCs/>
                <w:sz w:val="19"/>
                <w:szCs w:val="19"/>
                <w:lang w:bidi="hi-IN"/>
              </w:rPr>
            </w:pPr>
          </w:p>
          <w:p>
            <w:pPr>
              <w:spacing w:after="0" w:line="240" w:lineRule="auto"/>
              <w:jc w:val="both"/>
              <w:textAlignment w:val="baseline"/>
              <w:rPr>
                <w:rFonts w:eastAsia="Times New Roman" w:cstheme="minorHAnsi"/>
                <w:sz w:val="19"/>
                <w:szCs w:val="19"/>
                <w:lang w:bidi="hi-IN"/>
              </w:rPr>
            </w:pPr>
            <w:r>
              <w:rPr>
                <w:rFonts w:eastAsia="Times New Roman" w:cstheme="minorHAnsi"/>
                <w:b/>
                <w:bCs/>
                <w:sz w:val="19"/>
                <w:szCs w:val="19"/>
                <w:lang w:bidi="hi-IN"/>
              </w:rPr>
              <w:t xml:space="preserve">Roadmap Planning </w:t>
            </w:r>
            <w:r>
              <w:rPr>
                <w:rFonts w:eastAsia="Times New Roman" w:cstheme="minorHAnsi"/>
                <w:sz w:val="19"/>
                <w:szCs w:val="19"/>
                <w:lang w:bidi="hi-IN"/>
              </w:rPr>
              <w:t xml:space="preserve">Define </w:t>
            </w:r>
            <w:r>
              <w:rPr>
                <w:rFonts w:eastAsia="Times New Roman" w:cstheme="minorHAnsi"/>
                <w:b/>
                <w:bCs/>
                <w:sz w:val="19"/>
                <w:szCs w:val="19"/>
                <w:lang w:bidi="hi-IN"/>
              </w:rPr>
              <w:t>product roadmaps</w:t>
            </w:r>
            <w:r>
              <w:rPr>
                <w:rFonts w:eastAsia="Times New Roman" w:cstheme="minorHAnsi"/>
                <w:sz w:val="19"/>
                <w:szCs w:val="19"/>
                <w:lang w:bidi="hi-IN"/>
              </w:rPr>
              <w:t xml:space="preserve">, requirements, work closely with platform development and UX to </w:t>
            </w:r>
            <w:r>
              <w:rPr>
                <w:rFonts w:eastAsia="Times New Roman" w:cstheme="minorHAnsi"/>
                <w:b/>
                <w:bCs/>
                <w:sz w:val="19"/>
                <w:szCs w:val="19"/>
                <w:lang w:bidi="hi-IN"/>
              </w:rPr>
              <w:t>drive sprint planning, story prioritization and manage product portfolio backlog</w:t>
            </w:r>
            <w:r>
              <w:rPr>
                <w:rFonts w:eastAsia="Times New Roman" w:cstheme="minorHAnsi"/>
                <w:sz w:val="19"/>
                <w:szCs w:val="19"/>
                <w:lang w:bidi="hi-IN"/>
              </w:rPr>
              <w:t xml:space="preserve">. Ensure consistent execution of product lifecycle processes from concept to launch. </w:t>
            </w:r>
          </w:p>
          <w:p>
            <w:pPr>
              <w:spacing w:after="0" w:line="240" w:lineRule="auto"/>
              <w:jc w:val="both"/>
              <w:rPr>
                <w:rFonts w:eastAsia="Times New Roman" w:cstheme="minorHAnsi"/>
                <w:b/>
                <w:bCs/>
                <w:sz w:val="19"/>
                <w:szCs w:val="19"/>
                <w:lang w:bidi="hi-IN"/>
              </w:rPr>
            </w:pPr>
          </w:p>
          <w:p>
            <w:pPr>
              <w:spacing w:after="0" w:line="240" w:lineRule="auto"/>
              <w:jc w:val="both"/>
              <w:rPr>
                <w:rFonts w:cstheme="minorHAnsi"/>
                <w:sz w:val="19"/>
                <w:szCs w:val="19"/>
              </w:rPr>
            </w:pPr>
            <w:r>
              <w:rPr>
                <w:rFonts w:eastAsia="Times New Roman" w:cstheme="minorHAnsi"/>
                <w:b/>
                <w:bCs/>
                <w:sz w:val="19"/>
                <w:szCs w:val="19"/>
                <w:lang w:bidi="hi-IN"/>
              </w:rPr>
              <w:t>Requirements Definition:</w:t>
            </w:r>
            <w:r>
              <w:rPr>
                <w:rFonts w:eastAsia="Times New Roman" w:cstheme="minorHAnsi"/>
                <w:sz w:val="19"/>
                <w:szCs w:val="19"/>
                <w:lang w:bidi="hi-IN"/>
              </w:rPr>
              <w:t xml:space="preserve"> Develop comprehensive product backlog, incorporating market/client requirements. </w:t>
            </w:r>
            <w:r>
              <w:rPr>
                <w:rFonts w:eastAsia="Times New Roman" w:cstheme="minorHAnsi"/>
                <w:b/>
                <w:bCs/>
                <w:sz w:val="19"/>
                <w:szCs w:val="19"/>
                <w:lang w:bidi="hi-IN"/>
              </w:rPr>
              <w:t>Produce requirements documents, wireframes, and business solution documents</w:t>
            </w:r>
            <w:r>
              <w:rPr>
                <w:rFonts w:eastAsia="Times New Roman" w:cstheme="minorHAnsi"/>
                <w:sz w:val="19"/>
                <w:szCs w:val="19"/>
                <w:lang w:bidi="hi-IN"/>
              </w:rPr>
              <w:t xml:space="preserve"> and effectively prioritize and manage the scope of each release to deliver key capabilities on time. Write user stories to communicate customer needs. </w:t>
            </w:r>
            <w:r>
              <w:rPr>
                <w:rFonts w:eastAsia="Times New Roman" w:cstheme="minorHAnsi"/>
                <w:b/>
                <w:bCs/>
                <w:sz w:val="19"/>
                <w:szCs w:val="19"/>
                <w:lang w:bidi="hi-IN"/>
              </w:rPr>
              <w:t>Secure internal and external stakeholder buy-in</w:t>
            </w:r>
            <w:r>
              <w:rPr>
                <w:rFonts w:eastAsia="Times New Roman" w:cstheme="minorHAnsi"/>
                <w:sz w:val="19"/>
                <w:szCs w:val="19"/>
                <w:lang w:bidi="hi-IN"/>
              </w:rPr>
              <w:t xml:space="preserve"> on both functional and non-functional requirements. </w:t>
            </w:r>
            <w:r>
              <w:rPr>
                <w:rFonts w:eastAsia="Times New Roman" w:cstheme="minorHAnsi"/>
                <w:b/>
                <w:bCs/>
                <w:sz w:val="19"/>
                <w:szCs w:val="19"/>
                <w:lang w:bidi="hi-IN"/>
              </w:rPr>
              <w:t>Manage product enhancements</w:t>
            </w:r>
            <w:r>
              <w:rPr>
                <w:rFonts w:eastAsia="Times New Roman" w:cstheme="minorHAnsi"/>
                <w:sz w:val="19"/>
                <w:szCs w:val="19"/>
                <w:lang w:bidi="hi-IN"/>
              </w:rPr>
              <w:t xml:space="preserve"> (features, functionalities, and microservices) through the development of lifecycle working within waterfall and agile frameworks</w:t>
            </w:r>
          </w:p>
        </w:tc>
        <w:tc>
          <w:tcPr>
            <w:tcW w:w="5634" w:type="dxa"/>
          </w:tcPr>
          <w:p>
            <w:pPr>
              <w:spacing w:after="0" w:line="240" w:lineRule="auto"/>
              <w:jc w:val="both"/>
              <w:rPr>
                <w:rFonts w:cstheme="minorHAnsi"/>
                <w:sz w:val="19"/>
                <w:szCs w:val="19"/>
              </w:rPr>
            </w:pPr>
            <w:r>
              <w:rPr>
                <w:rFonts w:eastAsia="Times New Roman" w:cstheme="minorHAnsi"/>
                <w:b/>
                <w:bCs/>
                <w:sz w:val="19"/>
                <w:szCs w:val="19"/>
                <w:lang w:bidi="hi-IN"/>
              </w:rPr>
              <w:t>Communication</w:t>
            </w:r>
            <w:r>
              <w:rPr>
                <w:rFonts w:eastAsia="Times New Roman" w:cstheme="minorHAnsi"/>
                <w:sz w:val="19"/>
                <w:szCs w:val="19"/>
                <w:lang w:bidi="hi-IN"/>
              </w:rPr>
              <w:t xml:space="preserve">: Liaise between engineering, QA, data governance, infrastructure, business owners to ensure clear communication, understanding of upcoming tasks during the sprint planning, </w:t>
            </w:r>
            <w:r>
              <w:rPr>
                <w:rFonts w:eastAsia="Times New Roman" w:cstheme="minorHAnsi"/>
                <w:b/>
                <w:bCs/>
                <w:sz w:val="19"/>
                <w:szCs w:val="19"/>
                <w:lang w:bidi="hi-IN"/>
              </w:rPr>
              <w:t xml:space="preserve">Provide visibility of risk/issues/ burndown charts to leadership </w:t>
            </w:r>
            <w:r>
              <w:rPr>
                <w:rFonts w:eastAsia="Times New Roman" w:cstheme="minorHAnsi"/>
                <w:sz w:val="19"/>
                <w:szCs w:val="19"/>
                <w:lang w:bidi="hi-IN"/>
              </w:rPr>
              <w:t>teams in Steering committee meetings</w:t>
            </w:r>
          </w:p>
        </w:tc>
      </w:tr>
    </w:tbl>
    <w:p>
      <w:pPr>
        <w:spacing w:after="0" w:line="205" w:lineRule="atLeast"/>
        <w:rPr>
          <w:caps/>
          <w:sz w:val="20"/>
          <w:szCs w:val="20"/>
        </w:rPr>
      </w:pPr>
    </w:p>
    <w:p>
      <w:pPr>
        <w:spacing w:after="0" w:line="205" w:lineRule="atLeast"/>
        <w:rPr>
          <w:caps/>
          <w:sz w:val="20"/>
          <w:szCs w:val="20"/>
        </w:rPr>
      </w:pPr>
    </w:p>
    <w:p>
      <w:pPr>
        <w:spacing w:after="0" w:line="205" w:lineRule="atLeast"/>
        <w:rPr>
          <w:caps/>
          <w:sz w:val="20"/>
          <w:szCs w:val="20"/>
        </w:rPr>
      </w:pPr>
    </w:p>
    <w:p>
      <w:pPr>
        <w:pBdr>
          <w:top w:val="dotted" w:color="auto" w:sz="4" w:space="0"/>
          <w:bottom w:val="dotted" w:color="auto" w:sz="4" w:space="1"/>
        </w:pBdr>
        <w:spacing w:after="0" w:line="240" w:lineRule="auto"/>
        <w:jc w:val="center"/>
        <w:rPr>
          <w:rStyle w:val="22"/>
          <w:b w:val="0"/>
          <w:bCs w:val="0"/>
        </w:rPr>
      </w:pPr>
      <w:r>
        <w:rPr>
          <w:rStyle w:val="22"/>
          <w:b w:val="0"/>
          <w:bCs w:val="0"/>
        </w:rPr>
        <w:t>Brief Employment Summary</w:t>
      </w:r>
    </w:p>
    <w:p>
      <w:pPr>
        <w:spacing w:after="0" w:line="240" w:lineRule="auto"/>
        <w:rPr>
          <w:rFonts w:eastAsia="Arial"/>
          <w:b/>
          <w:color w:val="002060"/>
          <w:sz w:val="20"/>
          <w:szCs w:val="20"/>
        </w:rPr>
      </w:pPr>
      <w:r>
        <w:rPr>
          <w:rFonts w:eastAsia="Arial"/>
          <w:b/>
          <w:color w:val="002060"/>
          <w:sz w:val="20"/>
          <w:szCs w:val="20"/>
        </w:rPr>
        <w:t xml:space="preserve">Synechron Technology  Manager– Product Management| 2019-2025 </w:t>
      </w:r>
    </w:p>
    <w:p>
      <w:pPr>
        <w:spacing w:after="0" w:line="240" w:lineRule="auto"/>
        <w:rPr>
          <w:rFonts w:eastAsia="Arial"/>
          <w:b/>
          <w:color w:val="002060"/>
          <w:sz w:val="20"/>
          <w:szCs w:val="20"/>
        </w:rPr>
      </w:pPr>
    </w:p>
    <w:p>
      <w:pPr>
        <w:spacing w:after="0" w:line="240" w:lineRule="auto"/>
        <w:rPr>
          <w:rFonts w:eastAsia="Arial"/>
          <w:b/>
          <w:color w:val="002060"/>
          <w:sz w:val="20"/>
          <w:szCs w:val="20"/>
        </w:rPr>
      </w:pPr>
      <w:r>
        <w:rPr>
          <w:rFonts w:eastAsia="Arial"/>
          <w:b/>
          <w:color w:val="002060"/>
          <w:sz w:val="20"/>
          <w:szCs w:val="20"/>
        </w:rPr>
        <w:t>Client: Lloyds Bank - UK</w:t>
      </w:r>
    </w:p>
    <w:p>
      <w:pPr>
        <w:spacing w:after="0" w:line="240" w:lineRule="auto"/>
        <w:rPr>
          <w:rFonts w:eastAsia="Arial"/>
          <w:b/>
          <w:color w:val="002060"/>
          <w:sz w:val="20"/>
          <w:szCs w:val="20"/>
        </w:rPr>
      </w:pPr>
    </w:p>
    <w:p>
      <w:pPr>
        <w:spacing w:after="0" w:line="205" w:lineRule="atLeast"/>
        <w:ind w:right="416"/>
        <w:jc w:val="both"/>
        <w:rPr>
          <w:sz w:val="18"/>
          <w:szCs w:val="18"/>
        </w:rPr>
      </w:pPr>
      <w:r>
        <w:rPr>
          <w:rFonts w:eastAsia="Arial"/>
          <w:smallCaps/>
          <w:color w:val="002060"/>
          <w:sz w:val="18"/>
          <w:szCs w:val="18"/>
        </w:rPr>
        <w:t>Key Focus</w:t>
      </w:r>
      <w:r>
        <w:rPr>
          <w:rFonts w:eastAsia="Arial"/>
          <w:b/>
          <w:color w:val="002060"/>
          <w:sz w:val="18"/>
          <w:szCs w:val="18"/>
        </w:rPr>
        <w:t>:</w:t>
      </w:r>
      <w:r>
        <w:rPr>
          <w:sz w:val="18"/>
          <w:szCs w:val="18"/>
        </w:rPr>
        <w:t xml:space="preserve">  | Business Analysis |MX.3 | MXML|  | Trade Capture | Trade Booking</w:t>
      </w:r>
    </w:p>
    <w:p>
      <w:pPr>
        <w:spacing w:after="0" w:line="205" w:lineRule="atLeast"/>
        <w:ind w:right="416"/>
        <w:jc w:val="both"/>
        <w:rPr>
          <w:sz w:val="18"/>
          <w:szCs w:val="18"/>
        </w:rPr>
      </w:pPr>
      <w:r>
        <w:rPr>
          <w:rFonts w:eastAsia="Arial"/>
          <w:smallCaps/>
          <w:color w:val="002060"/>
          <w:sz w:val="18"/>
          <w:szCs w:val="18"/>
        </w:rPr>
        <w:t>Team Size:</w:t>
      </w:r>
      <w:r>
        <w:rPr>
          <w:sz w:val="18"/>
          <w:szCs w:val="18"/>
        </w:rPr>
        <w:t xml:space="preserve"> 5 members comprising BA/QA</w:t>
      </w:r>
    </w:p>
    <w:p>
      <w:pPr>
        <w:spacing w:after="0" w:line="205" w:lineRule="atLeast"/>
        <w:ind w:right="416"/>
        <w:jc w:val="both"/>
        <w:rPr>
          <w:sz w:val="18"/>
          <w:szCs w:val="18"/>
        </w:rPr>
      </w:pPr>
    </w:p>
    <w:p>
      <w:pPr>
        <w:spacing w:after="0" w:line="205" w:lineRule="atLeast"/>
        <w:ind w:right="236"/>
        <w:jc w:val="both"/>
        <w:rPr>
          <w:sz w:val="18"/>
          <w:szCs w:val="18"/>
        </w:rPr>
      </w:pPr>
      <w:r>
        <w:rPr>
          <w:rFonts w:eastAsia="Arial"/>
          <w:color w:val="002060"/>
          <w:sz w:val="18"/>
          <w:szCs w:val="18"/>
        </w:rPr>
        <w:t>Project Brief:</w:t>
      </w:r>
    </w:p>
    <w:p>
      <w:pPr>
        <w:spacing w:after="0" w:line="205" w:lineRule="atLeast"/>
        <w:ind w:right="416"/>
        <w:jc w:val="both"/>
        <w:rPr>
          <w:sz w:val="18"/>
          <w:szCs w:val="18"/>
        </w:rPr>
      </w:pPr>
      <w:r>
        <w:rPr>
          <w:sz w:val="18"/>
          <w:szCs w:val="18"/>
        </w:rPr>
        <w:t>Worked as a business analyst within the Front office trading transformation program supporting the MX.3 platform. Collaborated with Front office traders, product owners, Risk teams, Market data teams and technology teams to support trade lifecycle management, market data processing, pricing, valuation, and regulatory reporting initiatives across FX and interest rate products.</w:t>
      </w:r>
    </w:p>
    <w:p>
      <w:pPr>
        <w:spacing w:after="0" w:line="205" w:lineRule="atLeast"/>
        <w:ind w:right="416"/>
        <w:jc w:val="both"/>
        <w:rPr>
          <w:sz w:val="18"/>
          <w:szCs w:val="18"/>
        </w:rPr>
      </w:pPr>
    </w:p>
    <w:p>
      <w:pPr>
        <w:spacing w:after="0" w:line="240" w:lineRule="auto"/>
        <w:rPr>
          <w:rFonts w:eastAsia="Arial"/>
          <w:b/>
          <w:color w:val="002060"/>
          <w:sz w:val="20"/>
          <w:szCs w:val="20"/>
        </w:rPr>
      </w:pPr>
    </w:p>
    <w:p>
      <w:pPr>
        <w:spacing w:after="0" w:line="240" w:lineRule="auto"/>
        <w:rPr>
          <w:rFonts w:eastAsia="Arial"/>
          <w:b/>
          <w:color w:val="002060"/>
          <w:sz w:val="20"/>
          <w:szCs w:val="20"/>
        </w:rPr>
      </w:pPr>
    </w:p>
    <w:p>
      <w:pPr>
        <w:spacing w:after="0" w:line="240" w:lineRule="auto"/>
        <w:rPr>
          <w:rFonts w:eastAsia="Arial"/>
          <w:b/>
          <w:color w:val="002060"/>
          <w:sz w:val="20"/>
          <w:szCs w:val="20"/>
        </w:rPr>
      </w:pPr>
    </w:p>
    <w:p>
      <w:pPr>
        <w:numPr>
          <w:ilvl w:val="0"/>
          <w:numId w:val="1"/>
        </w:numPr>
        <w:spacing w:line="240" w:lineRule="auto"/>
        <w:ind w:left="450" w:hanging="357"/>
        <w:contextualSpacing/>
        <w:jc w:val="both"/>
        <w:rPr>
          <w:rFonts w:eastAsia="Arial"/>
          <w:sz w:val="18"/>
          <w:szCs w:val="18"/>
        </w:rPr>
      </w:pPr>
      <w:r>
        <w:rPr>
          <w:rFonts w:eastAsia="Arial"/>
          <w:sz w:val="18"/>
          <w:szCs w:val="18"/>
        </w:rPr>
        <w:t>Conducted requirement gathering workshops with front office stakeholders, traders, risk managers, and operations teams to understand business needs and translate them into functional requirements.</w:t>
      </w:r>
    </w:p>
    <w:p>
      <w:pPr>
        <w:numPr>
          <w:ilvl w:val="0"/>
          <w:numId w:val="1"/>
        </w:numPr>
        <w:spacing w:line="240" w:lineRule="auto"/>
        <w:ind w:left="450" w:hanging="357"/>
        <w:contextualSpacing/>
        <w:jc w:val="both"/>
        <w:rPr>
          <w:rFonts w:eastAsia="Arial"/>
          <w:sz w:val="18"/>
          <w:szCs w:val="18"/>
        </w:rPr>
      </w:pPr>
      <w:r>
        <w:rPr>
          <w:rFonts w:eastAsia="Arial"/>
          <w:sz w:val="18"/>
          <w:szCs w:val="18"/>
        </w:rPr>
        <w:t>Configured trade lifecycle processes including trade capture, valiation, confirmation, settlement, and reporting.</w:t>
      </w:r>
    </w:p>
    <w:p>
      <w:pPr>
        <w:numPr>
          <w:ilvl w:val="0"/>
          <w:numId w:val="1"/>
        </w:numPr>
        <w:spacing w:line="240" w:lineRule="auto"/>
        <w:ind w:left="450" w:hanging="357"/>
        <w:contextualSpacing/>
        <w:jc w:val="both"/>
        <w:rPr>
          <w:rFonts w:eastAsia="Arial"/>
          <w:sz w:val="18"/>
          <w:szCs w:val="18"/>
        </w:rPr>
      </w:pPr>
      <w:r>
        <w:rPr>
          <w:rFonts w:eastAsia="Arial"/>
          <w:sz w:val="18"/>
          <w:szCs w:val="18"/>
        </w:rPr>
        <w:t>Supported Murex MX3 front office initiatives involving FX spot, FX Forward, FX swap, IRS and fixed income products.</w:t>
      </w:r>
    </w:p>
    <w:p>
      <w:pPr>
        <w:numPr>
          <w:ilvl w:val="0"/>
          <w:numId w:val="1"/>
        </w:numPr>
        <w:spacing w:line="240" w:lineRule="auto"/>
        <w:ind w:left="450" w:hanging="357"/>
        <w:contextualSpacing/>
        <w:jc w:val="both"/>
        <w:rPr>
          <w:rFonts w:eastAsia="Arial"/>
          <w:sz w:val="18"/>
          <w:szCs w:val="18"/>
        </w:rPr>
      </w:pPr>
      <w:r>
        <w:rPr>
          <w:rFonts w:eastAsia="Arial"/>
          <w:sz w:val="18"/>
          <w:szCs w:val="18"/>
        </w:rPr>
        <w:t>Worked closely with market data teams to analyze and validate FX rates, volatility surfaces, and pricing environments used for trade valuation.</w:t>
      </w:r>
    </w:p>
    <w:p>
      <w:pPr>
        <w:numPr>
          <w:ilvl w:val="0"/>
          <w:numId w:val="1"/>
        </w:numPr>
        <w:spacing w:line="240" w:lineRule="auto"/>
        <w:ind w:left="450" w:hanging="357"/>
        <w:contextualSpacing/>
        <w:jc w:val="both"/>
        <w:rPr>
          <w:rFonts w:eastAsia="Arial"/>
          <w:sz w:val="18"/>
          <w:szCs w:val="18"/>
        </w:rPr>
      </w:pPr>
      <w:r>
        <w:rPr>
          <w:rFonts w:eastAsia="Arial"/>
          <w:sz w:val="18"/>
          <w:szCs w:val="18"/>
        </w:rPr>
        <w:t>Supported Front office operations team during UAT by creating scenarios and executing test cases.</w:t>
      </w:r>
    </w:p>
    <w:p>
      <w:pPr>
        <w:numPr>
          <w:ilvl w:val="0"/>
          <w:numId w:val="1"/>
        </w:numPr>
        <w:spacing w:line="240" w:lineRule="auto"/>
        <w:ind w:left="450" w:hanging="357"/>
        <w:contextualSpacing/>
        <w:jc w:val="both"/>
        <w:rPr>
          <w:rFonts w:eastAsia="Arial"/>
          <w:sz w:val="18"/>
          <w:szCs w:val="18"/>
        </w:rPr>
      </w:pPr>
      <w:r>
        <w:rPr>
          <w:rFonts w:eastAsia="Arial"/>
          <w:sz w:val="18"/>
          <w:szCs w:val="18"/>
        </w:rPr>
        <w:t>Supported production releases and post-implementation activities, including incident management and stakeholder communication.</w:t>
      </w:r>
    </w:p>
    <w:p>
      <w:pPr>
        <w:spacing w:after="0" w:line="240" w:lineRule="auto"/>
        <w:rPr>
          <w:rFonts w:eastAsia="Arial"/>
          <w:b/>
          <w:color w:val="002060"/>
          <w:sz w:val="20"/>
          <w:szCs w:val="20"/>
        </w:rPr>
      </w:pPr>
    </w:p>
    <w:p>
      <w:pPr>
        <w:spacing w:after="0" w:line="240" w:lineRule="auto"/>
        <w:rPr>
          <w:rFonts w:eastAsia="Arial"/>
          <w:b/>
          <w:color w:val="002060"/>
          <w:sz w:val="20"/>
          <w:szCs w:val="20"/>
        </w:rPr>
      </w:pPr>
    </w:p>
    <w:p>
      <w:pPr>
        <w:spacing w:after="0" w:line="240" w:lineRule="auto"/>
        <w:rPr>
          <w:rFonts w:eastAsia="Arial"/>
          <w:b/>
          <w:color w:val="002060"/>
          <w:sz w:val="20"/>
          <w:szCs w:val="20"/>
        </w:rPr>
      </w:pPr>
    </w:p>
    <w:p>
      <w:pPr>
        <w:spacing w:after="0" w:line="205" w:lineRule="atLeast"/>
        <w:ind w:right="416"/>
        <w:jc w:val="both"/>
        <w:rPr>
          <w:sz w:val="18"/>
          <w:szCs w:val="18"/>
        </w:rPr>
      </w:pPr>
      <w:r>
        <w:rPr>
          <w:rFonts w:eastAsia="Arial"/>
          <w:smallCaps/>
          <w:color w:val="002060"/>
          <w:sz w:val="18"/>
          <w:szCs w:val="18"/>
        </w:rPr>
        <w:t>Key Focus</w:t>
      </w:r>
      <w:r>
        <w:rPr>
          <w:rFonts w:eastAsia="Arial"/>
          <w:b/>
          <w:color w:val="002060"/>
          <w:sz w:val="18"/>
          <w:szCs w:val="18"/>
        </w:rPr>
        <w:t>:</w:t>
      </w:r>
      <w:r>
        <w:rPr>
          <w:sz w:val="18"/>
          <w:szCs w:val="18"/>
        </w:rPr>
        <w:t xml:space="preserve"> Product Management | Business Analysis |MUREX | FIXML| FPML | Calypso| Fedissa| Bloomberg | IDC | Reuters </w:t>
      </w:r>
    </w:p>
    <w:p>
      <w:pPr>
        <w:spacing w:after="0" w:line="205" w:lineRule="atLeast"/>
        <w:ind w:right="416"/>
        <w:jc w:val="both"/>
        <w:rPr>
          <w:sz w:val="18"/>
          <w:szCs w:val="18"/>
        </w:rPr>
      </w:pPr>
      <w:r>
        <w:rPr>
          <w:rFonts w:eastAsia="Arial"/>
          <w:color w:val="002060"/>
          <w:sz w:val="18"/>
          <w:szCs w:val="18"/>
        </w:rPr>
        <w:t>Functional Area</w:t>
      </w:r>
      <w:r>
        <w:rPr>
          <w:rFonts w:eastAsia="Arial"/>
          <w:b/>
          <w:bCs/>
          <w:color w:val="002060"/>
          <w:sz w:val="18"/>
          <w:szCs w:val="18"/>
        </w:rPr>
        <w:t>:</w:t>
      </w:r>
      <w:r>
        <w:rPr>
          <w:sz w:val="18"/>
          <w:szCs w:val="18"/>
        </w:rPr>
        <w:t>Front Office Order Management | Buy-Side | Reference Data Management |FIX Connectivity | Account Ref Data | Reporting | Middle office |</w:t>
      </w:r>
    </w:p>
    <w:p>
      <w:pPr>
        <w:spacing w:after="0" w:line="205" w:lineRule="atLeast"/>
        <w:ind w:right="416"/>
        <w:jc w:val="both"/>
        <w:rPr>
          <w:sz w:val="18"/>
          <w:szCs w:val="18"/>
        </w:rPr>
      </w:pPr>
      <w:r>
        <w:rPr>
          <w:rFonts w:eastAsia="Arial"/>
          <w:smallCaps/>
          <w:color w:val="002060"/>
          <w:sz w:val="18"/>
          <w:szCs w:val="18"/>
        </w:rPr>
        <w:t>Team Size:</w:t>
      </w:r>
      <w:r>
        <w:rPr>
          <w:sz w:val="18"/>
          <w:szCs w:val="18"/>
        </w:rPr>
        <w:t xml:space="preserve"> 18 members comprising BA/QA/Dev </w:t>
      </w:r>
    </w:p>
    <w:p>
      <w:pPr>
        <w:spacing w:after="0" w:line="205" w:lineRule="atLeast"/>
        <w:ind w:right="416"/>
        <w:jc w:val="both"/>
        <w:rPr>
          <w:sz w:val="18"/>
          <w:szCs w:val="18"/>
        </w:rPr>
      </w:pPr>
    </w:p>
    <w:p>
      <w:pPr>
        <w:spacing w:after="0" w:line="205" w:lineRule="atLeast"/>
        <w:ind w:right="236"/>
        <w:jc w:val="both"/>
        <w:rPr>
          <w:rFonts w:eastAsia="Arial"/>
          <w:color w:val="002060"/>
          <w:sz w:val="18"/>
          <w:szCs w:val="18"/>
        </w:rPr>
      </w:pPr>
      <w:r>
        <w:rPr>
          <w:rFonts w:eastAsia="Arial"/>
          <w:color w:val="002060"/>
          <w:sz w:val="18"/>
          <w:szCs w:val="18"/>
        </w:rPr>
        <w:t>Project Brief:</w:t>
      </w:r>
    </w:p>
    <w:p>
      <w:pPr>
        <w:spacing w:after="0" w:line="205" w:lineRule="atLeast"/>
        <w:ind w:right="236"/>
        <w:jc w:val="both"/>
        <w:rPr>
          <w:sz w:val="18"/>
          <w:szCs w:val="18"/>
        </w:rPr>
      </w:pPr>
    </w:p>
    <w:p>
      <w:pPr>
        <w:spacing w:after="20" w:line="240" w:lineRule="auto"/>
        <w:jc w:val="both"/>
        <w:rPr>
          <w:rFonts w:eastAsia="Arial"/>
          <w:sz w:val="18"/>
          <w:szCs w:val="18"/>
        </w:rPr>
      </w:pPr>
      <w:r>
        <w:rPr>
          <w:rFonts w:eastAsia="Arial"/>
          <w:b/>
          <w:bCs/>
          <w:sz w:val="18"/>
          <w:szCs w:val="18"/>
        </w:rPr>
        <w:t>CITY Bank Deal Manager</w:t>
      </w:r>
      <w:r>
        <w:rPr>
          <w:rFonts w:eastAsia="Arial"/>
          <w:sz w:val="18"/>
          <w:szCs w:val="18"/>
        </w:rPr>
        <w:t xml:space="preserve"> is a Global Derivative trading platform   for Middle office teams  which does creating the deals, data mastering for reference data, Data transformation based on client requirement. Deal Manager  has an integrated Operational control framework consumes trade deals from different Order management systems.</w:t>
      </w:r>
    </w:p>
    <w:p>
      <w:pPr>
        <w:spacing w:after="20" w:line="240" w:lineRule="auto"/>
        <w:jc w:val="both"/>
        <w:rPr>
          <w:rFonts w:eastAsia="Arial"/>
          <w:sz w:val="18"/>
          <w:szCs w:val="18"/>
        </w:rPr>
      </w:pPr>
    </w:p>
    <w:p>
      <w:pPr>
        <w:spacing w:after="20" w:line="240" w:lineRule="auto"/>
        <w:jc w:val="both"/>
        <w:rPr>
          <w:rFonts w:eastAsia="Arial"/>
          <w:sz w:val="18"/>
          <w:szCs w:val="18"/>
        </w:rPr>
      </w:pPr>
    </w:p>
    <w:p>
      <w:pPr>
        <w:spacing w:after="20" w:line="240" w:lineRule="auto"/>
        <w:jc w:val="both"/>
        <w:rPr>
          <w:rFonts w:eastAsia="Arial"/>
          <w:sz w:val="18"/>
          <w:szCs w:val="18"/>
        </w:rPr>
      </w:pPr>
    </w:p>
    <w:p>
      <w:pPr>
        <w:spacing w:after="20" w:line="240" w:lineRule="auto"/>
        <w:jc w:val="both"/>
        <w:rPr>
          <w:rFonts w:eastAsia="Arial"/>
          <w:sz w:val="18"/>
          <w:szCs w:val="18"/>
        </w:rPr>
      </w:pPr>
      <w:r>
        <w:rPr>
          <w:rFonts w:eastAsia="Arial"/>
          <w:b/>
          <w:bCs/>
          <w:sz w:val="18"/>
          <w:szCs w:val="18"/>
        </w:rPr>
        <w:t>Deal Manager</w:t>
      </w:r>
      <w:r>
        <w:rPr>
          <w:rFonts w:eastAsia="Arial"/>
          <w:sz w:val="18"/>
          <w:szCs w:val="18"/>
        </w:rPr>
        <w:t xml:space="preserve">is  Integrated Front to back platform that manages different upstream and down stream application to complete investment lifecycle having Front office, Middle office  and Back office  management. </w:t>
      </w:r>
    </w:p>
    <w:p>
      <w:pPr>
        <w:numPr>
          <w:ilvl w:val="0"/>
          <w:numId w:val="1"/>
        </w:numPr>
        <w:spacing w:after="0" w:line="240" w:lineRule="auto"/>
        <w:ind w:left="450"/>
        <w:jc w:val="both"/>
        <w:rPr>
          <w:rFonts w:eastAsia="Arial"/>
          <w:b/>
          <w:color w:val="002060"/>
          <w:sz w:val="18"/>
          <w:szCs w:val="18"/>
        </w:rPr>
      </w:pPr>
      <w:r>
        <w:rPr>
          <w:rFonts w:eastAsia="Arial"/>
          <w:b/>
          <w:bCs/>
          <w:sz w:val="18"/>
          <w:szCs w:val="18"/>
        </w:rPr>
        <w:t>Leading 4 product specialist</w:t>
      </w:r>
      <w:r>
        <w:rPr>
          <w:rFonts w:eastAsia="Arial"/>
          <w:sz w:val="18"/>
          <w:szCs w:val="18"/>
        </w:rPr>
        <w:t xml:space="preserve"> comprising activities like  risk identification, involved in preparing questionnaires, process flow diagrams, &amp; enterprise analysis to future business cases.</w:t>
      </w:r>
    </w:p>
    <w:p>
      <w:pPr>
        <w:numPr>
          <w:ilvl w:val="0"/>
          <w:numId w:val="1"/>
        </w:numPr>
        <w:spacing w:after="20" w:line="240" w:lineRule="auto"/>
        <w:ind w:left="450"/>
        <w:jc w:val="both"/>
        <w:rPr>
          <w:rFonts w:eastAsia="Arial"/>
          <w:sz w:val="18"/>
          <w:szCs w:val="18"/>
        </w:rPr>
      </w:pPr>
      <w:r>
        <w:rPr>
          <w:rFonts w:eastAsia="Arial"/>
          <w:sz w:val="18"/>
          <w:szCs w:val="18"/>
        </w:rPr>
        <w:t>Solely accountable for planning &amp; day-to-day operations for smooth operations of the technology and business teams.</w:t>
      </w:r>
    </w:p>
    <w:p>
      <w:pPr>
        <w:numPr>
          <w:ilvl w:val="0"/>
          <w:numId w:val="1"/>
        </w:numPr>
        <w:spacing w:after="20" w:line="240" w:lineRule="auto"/>
        <w:ind w:left="450"/>
        <w:jc w:val="both"/>
        <w:rPr>
          <w:rFonts w:eastAsia="Arial"/>
          <w:sz w:val="18"/>
          <w:szCs w:val="18"/>
        </w:rPr>
      </w:pPr>
      <w:r>
        <w:rPr>
          <w:rFonts w:eastAsia="Arial"/>
          <w:sz w:val="18"/>
          <w:szCs w:val="18"/>
        </w:rPr>
        <w:t xml:space="preserve">Involved in </w:t>
      </w:r>
      <w:r>
        <w:rPr>
          <w:rFonts w:eastAsia="Arial"/>
          <w:b/>
          <w:bCs/>
          <w:sz w:val="18"/>
          <w:szCs w:val="18"/>
        </w:rPr>
        <w:t>conducting user interviews/requirement workshops</w:t>
      </w:r>
      <w:r>
        <w:rPr>
          <w:rFonts w:eastAsia="Arial"/>
          <w:sz w:val="18"/>
          <w:szCs w:val="18"/>
        </w:rPr>
        <w:t xml:space="preserve"> to gather requirements and breaking the requirements into EPICS and user stories, </w:t>
      </w:r>
      <w:r>
        <w:rPr>
          <w:rFonts w:eastAsia="Arial"/>
          <w:b/>
          <w:bCs/>
          <w:sz w:val="18"/>
          <w:szCs w:val="18"/>
        </w:rPr>
        <w:t>Prioritize stories, release planning, client demos and facilitate UAT and prod migration</w:t>
      </w:r>
    </w:p>
    <w:p>
      <w:pPr>
        <w:numPr>
          <w:ilvl w:val="0"/>
          <w:numId w:val="1"/>
        </w:numPr>
        <w:spacing w:after="20" w:line="240" w:lineRule="auto"/>
        <w:ind w:left="450"/>
        <w:jc w:val="both"/>
        <w:rPr>
          <w:rFonts w:eastAsia="Arial"/>
          <w:sz w:val="18"/>
          <w:szCs w:val="18"/>
        </w:rPr>
      </w:pPr>
      <w:r>
        <w:rPr>
          <w:rFonts w:eastAsia="Arial"/>
          <w:sz w:val="18"/>
          <w:szCs w:val="18"/>
        </w:rPr>
        <w:t>Prioritize the defects, enhancement, and change requests by managing the product backlogs; participate in the UAT phase by conducting functional testing, tracking issues and bug fixes to ensure smooth client onboarding and data migration, ensure SLAs are met, and develop opportunities to increase overall client satisfaction levels</w:t>
      </w:r>
    </w:p>
    <w:p>
      <w:pPr>
        <w:numPr>
          <w:ilvl w:val="0"/>
          <w:numId w:val="1"/>
        </w:numPr>
        <w:spacing w:after="20" w:line="240" w:lineRule="auto"/>
        <w:ind w:left="450"/>
        <w:jc w:val="both"/>
        <w:rPr>
          <w:rFonts w:eastAsia="Arial"/>
          <w:sz w:val="18"/>
          <w:szCs w:val="18"/>
        </w:rPr>
      </w:pPr>
      <w:r>
        <w:rPr>
          <w:rFonts w:eastAsia="Arial"/>
          <w:sz w:val="18"/>
          <w:szCs w:val="18"/>
        </w:rPr>
        <w:t xml:space="preserve">Facilitate </w:t>
      </w:r>
      <w:r>
        <w:rPr>
          <w:rFonts w:eastAsia="Arial"/>
          <w:b/>
          <w:bCs/>
          <w:sz w:val="18"/>
          <w:szCs w:val="18"/>
        </w:rPr>
        <w:t>as-is analysis of the client current systems, transactional data analysis and interpretation of code</w:t>
      </w:r>
      <w:r>
        <w:rPr>
          <w:rFonts w:eastAsia="Arial"/>
          <w:sz w:val="18"/>
          <w:szCs w:val="18"/>
        </w:rPr>
        <w:t xml:space="preserve"> and querying the database to ensure there is no lack of available documentation.</w:t>
      </w:r>
    </w:p>
    <w:p>
      <w:pPr>
        <w:spacing w:after="0" w:line="240" w:lineRule="auto"/>
        <w:jc w:val="both"/>
        <w:rPr>
          <w:rFonts w:eastAsia="Arial"/>
          <w:b/>
          <w:color w:val="002060"/>
          <w:sz w:val="20"/>
          <w:szCs w:val="20"/>
        </w:rPr>
      </w:pPr>
    </w:p>
    <w:p>
      <w:pPr>
        <w:spacing w:after="0" w:line="240" w:lineRule="auto"/>
        <w:rPr>
          <w:rFonts w:eastAsia="Arial"/>
          <w:b/>
          <w:color w:val="002060"/>
          <w:sz w:val="20"/>
          <w:szCs w:val="20"/>
        </w:rPr>
      </w:pPr>
      <w:r>
        <w:rPr>
          <w:rFonts w:eastAsia="Arial"/>
          <w:b/>
          <w:color w:val="002060"/>
          <w:sz w:val="20"/>
          <w:szCs w:val="20"/>
        </w:rPr>
        <w:t>L&amp;T Infotech | Sr. Consultant - 2017 - 2019</w:t>
      </w:r>
      <w:r>
        <w:rPr>
          <w:rFonts w:eastAsia="Arial"/>
          <w:b/>
          <w:color w:val="002060"/>
          <w:sz w:val="20"/>
          <w:szCs w:val="20"/>
        </w:rPr>
        <w:tab/>
      </w:r>
    </w:p>
    <w:p>
      <w:pPr>
        <w:spacing w:after="0" w:line="205" w:lineRule="atLeast"/>
        <w:ind w:right="416"/>
        <w:jc w:val="both"/>
        <w:rPr>
          <w:sz w:val="18"/>
          <w:szCs w:val="18"/>
        </w:rPr>
      </w:pPr>
      <w:r>
        <w:rPr>
          <w:rFonts w:eastAsia="Arial"/>
          <w:smallCaps/>
          <w:color w:val="002060"/>
          <w:sz w:val="18"/>
          <w:szCs w:val="18"/>
        </w:rPr>
        <w:t>Key Focus</w:t>
      </w:r>
      <w:r>
        <w:rPr>
          <w:rFonts w:eastAsia="Arial"/>
          <w:b/>
          <w:color w:val="002060"/>
          <w:sz w:val="18"/>
          <w:szCs w:val="18"/>
        </w:rPr>
        <w:t>:</w:t>
      </w:r>
      <w:r>
        <w:rPr>
          <w:sz w:val="18"/>
          <w:szCs w:val="18"/>
        </w:rPr>
        <w:t xml:space="preserve"> Product Management | Business Analysis| Legacy Modernization| Regulatory Initiatives | Technology and Operational Transformation | New Product Development | Process Re-engineering</w:t>
      </w:r>
    </w:p>
    <w:p>
      <w:pPr>
        <w:spacing w:after="0" w:line="205" w:lineRule="atLeast"/>
        <w:ind w:right="416"/>
        <w:jc w:val="both"/>
        <w:rPr>
          <w:sz w:val="18"/>
          <w:szCs w:val="18"/>
        </w:rPr>
      </w:pPr>
      <w:r>
        <w:rPr>
          <w:rFonts w:eastAsia="Arial"/>
          <w:color w:val="002060"/>
          <w:sz w:val="18"/>
          <w:szCs w:val="18"/>
        </w:rPr>
        <w:t>Functional Area</w:t>
      </w:r>
      <w:r>
        <w:rPr>
          <w:rFonts w:eastAsia="Arial"/>
          <w:b/>
          <w:bCs/>
          <w:color w:val="002060"/>
          <w:sz w:val="18"/>
          <w:szCs w:val="18"/>
        </w:rPr>
        <w:t>:</w:t>
      </w:r>
      <w:r>
        <w:rPr>
          <w:b/>
          <w:bCs/>
          <w:sz w:val="18"/>
          <w:szCs w:val="18"/>
        </w:rPr>
        <w:t>Order Management</w:t>
      </w:r>
      <w:r>
        <w:rPr>
          <w:sz w:val="18"/>
          <w:szCs w:val="18"/>
        </w:rPr>
        <w:t xml:space="preserve"> | Security Reference Data Management |Master Agreement Systems| Middle Office | OTC| Account reference data | Reporting</w:t>
      </w:r>
    </w:p>
    <w:p>
      <w:pPr>
        <w:spacing w:after="0" w:line="240" w:lineRule="auto"/>
        <w:rPr>
          <w:sz w:val="18"/>
          <w:szCs w:val="18"/>
        </w:rPr>
      </w:pPr>
      <w:r>
        <w:rPr>
          <w:rFonts w:eastAsia="Arial"/>
          <w:smallCaps/>
          <w:color w:val="002060"/>
          <w:sz w:val="18"/>
          <w:szCs w:val="18"/>
        </w:rPr>
        <w:t>Team Size:</w:t>
      </w:r>
      <w:r>
        <w:rPr>
          <w:sz w:val="18"/>
          <w:szCs w:val="18"/>
        </w:rPr>
        <w:t>12 members comprising BA/QA&amp;UI/UX</w:t>
      </w:r>
    </w:p>
    <w:p>
      <w:pPr>
        <w:numPr>
          <w:ilvl w:val="0"/>
          <w:numId w:val="1"/>
        </w:numPr>
        <w:spacing w:line="240" w:lineRule="auto"/>
        <w:ind w:left="450" w:hanging="357"/>
        <w:contextualSpacing/>
        <w:jc w:val="both"/>
        <w:rPr>
          <w:rFonts w:eastAsia="Arial"/>
          <w:sz w:val="18"/>
          <w:szCs w:val="18"/>
        </w:rPr>
      </w:pPr>
      <w:r>
        <w:rPr>
          <w:rFonts w:eastAsia="Arial"/>
          <w:sz w:val="18"/>
          <w:szCs w:val="18"/>
        </w:rPr>
        <w:t>Receive, validate, and document business requirements to determine build specifications, support testing, and support validation of test results. Also define and document exit criteria from build and test phases</w:t>
      </w:r>
    </w:p>
    <w:p>
      <w:pPr>
        <w:numPr>
          <w:ilvl w:val="0"/>
          <w:numId w:val="1"/>
        </w:numPr>
        <w:spacing w:line="240" w:lineRule="auto"/>
        <w:ind w:left="450" w:hanging="357"/>
        <w:contextualSpacing/>
        <w:jc w:val="both"/>
        <w:rPr>
          <w:rFonts w:eastAsia="Arial"/>
          <w:sz w:val="18"/>
          <w:szCs w:val="18"/>
        </w:rPr>
      </w:pPr>
      <w:r>
        <w:rPr>
          <w:rFonts w:eastAsia="Arial"/>
          <w:sz w:val="18"/>
          <w:szCs w:val="18"/>
        </w:rPr>
        <w:t>Actively managed the global stakeholders on delivery expectations</w:t>
      </w:r>
    </w:p>
    <w:p>
      <w:pPr>
        <w:numPr>
          <w:ilvl w:val="0"/>
          <w:numId w:val="1"/>
        </w:numPr>
        <w:spacing w:line="240" w:lineRule="auto"/>
        <w:ind w:left="450" w:hanging="357"/>
        <w:contextualSpacing/>
        <w:jc w:val="both"/>
        <w:rPr>
          <w:rFonts w:eastAsia="Arial"/>
          <w:sz w:val="18"/>
          <w:szCs w:val="18"/>
        </w:rPr>
      </w:pPr>
      <w:r>
        <w:rPr>
          <w:rFonts w:eastAsia="Arial"/>
          <w:sz w:val="18"/>
          <w:szCs w:val="18"/>
        </w:rPr>
        <w:t xml:space="preserve">Assisted in creating the User Interface Specification, prototype and wireframes for the new system UI. </w:t>
      </w:r>
    </w:p>
    <w:p>
      <w:pPr>
        <w:numPr>
          <w:ilvl w:val="0"/>
          <w:numId w:val="1"/>
        </w:numPr>
        <w:spacing w:line="240" w:lineRule="auto"/>
        <w:ind w:left="450" w:hanging="357"/>
        <w:contextualSpacing/>
        <w:jc w:val="both"/>
        <w:rPr>
          <w:rFonts w:eastAsia="Arial"/>
          <w:sz w:val="18"/>
          <w:szCs w:val="18"/>
        </w:rPr>
      </w:pPr>
      <w:r>
        <w:rPr>
          <w:rFonts w:eastAsia="Arial"/>
          <w:sz w:val="18"/>
          <w:szCs w:val="18"/>
        </w:rPr>
        <w:t>Elicit Requirements for the 21 product classes (Bond, CDS, Equity Synthetic, Swaption, Index Option, Bond Option, FX Option, Commodity Option, FX Forwards, TRS, Rate Lock, Swaps, Exotics) and migrated to the Web Oayasys System.</w:t>
      </w:r>
    </w:p>
    <w:p>
      <w:pPr>
        <w:numPr>
          <w:ilvl w:val="0"/>
          <w:numId w:val="1"/>
        </w:numPr>
        <w:spacing w:line="240" w:lineRule="auto"/>
        <w:ind w:left="450" w:hanging="357"/>
        <w:contextualSpacing/>
        <w:jc w:val="both"/>
        <w:rPr>
          <w:rFonts w:eastAsia="Arial"/>
          <w:sz w:val="18"/>
          <w:szCs w:val="18"/>
        </w:rPr>
      </w:pPr>
      <w:r>
        <w:rPr>
          <w:rFonts w:eastAsia="Arial"/>
          <w:sz w:val="18"/>
          <w:szCs w:val="18"/>
        </w:rPr>
        <w:t>Gathered requirements and validated for the OTC Product Class templates in CITITML formats from MXML, FIXML, FPML and XDS Formats.</w:t>
      </w:r>
    </w:p>
    <w:p>
      <w:pPr>
        <w:numPr>
          <w:ilvl w:val="0"/>
          <w:numId w:val="1"/>
        </w:numPr>
        <w:spacing w:line="240" w:lineRule="auto"/>
        <w:ind w:left="450" w:hanging="357"/>
        <w:contextualSpacing/>
        <w:jc w:val="both"/>
        <w:rPr>
          <w:rFonts w:eastAsia="Arial"/>
          <w:sz w:val="18"/>
          <w:szCs w:val="18"/>
        </w:rPr>
      </w:pPr>
      <w:r>
        <w:rPr>
          <w:rFonts w:eastAsia="Arial"/>
          <w:sz w:val="18"/>
          <w:szCs w:val="18"/>
        </w:rPr>
        <w:t>Worked with product manager, involved in creating user stories, High level FRD, creating wireframes, client demos, product validation and managing end to end product development, product roll out in over 4 geographical regions.</w:t>
      </w:r>
    </w:p>
    <w:p>
      <w:pPr>
        <w:numPr>
          <w:ilvl w:val="0"/>
          <w:numId w:val="1"/>
        </w:numPr>
        <w:spacing w:line="240" w:lineRule="auto"/>
        <w:ind w:left="450" w:hanging="357"/>
        <w:contextualSpacing/>
        <w:jc w:val="both"/>
        <w:rPr>
          <w:rFonts w:eastAsia="Arial"/>
          <w:sz w:val="18"/>
          <w:szCs w:val="18"/>
        </w:rPr>
      </w:pPr>
      <w:r>
        <w:rPr>
          <w:rFonts w:eastAsia="Arial"/>
          <w:sz w:val="18"/>
          <w:szCs w:val="18"/>
        </w:rPr>
        <w:t>Product handled trade blocking, allocations, fees, commission calculation, and trade matching systems</w:t>
      </w:r>
    </w:p>
    <w:p>
      <w:pPr>
        <w:spacing w:after="0" w:line="240" w:lineRule="auto"/>
        <w:ind w:left="450"/>
        <w:contextualSpacing/>
        <w:jc w:val="both"/>
        <w:rPr>
          <w:rFonts w:ascii="Calibri" w:hAnsi="Calibri" w:eastAsia="Arial"/>
          <w:sz w:val="18"/>
          <w:szCs w:val="18"/>
        </w:rPr>
      </w:pPr>
    </w:p>
    <w:p>
      <w:pPr>
        <w:spacing w:after="0" w:line="240" w:lineRule="auto"/>
        <w:rPr>
          <w:rFonts w:eastAsia="Arial"/>
          <w:b/>
          <w:color w:val="002060"/>
          <w:sz w:val="20"/>
          <w:szCs w:val="20"/>
        </w:rPr>
      </w:pPr>
      <w:r>
        <w:rPr>
          <w:rFonts w:eastAsia="Arial"/>
          <w:b/>
          <w:color w:val="002060"/>
          <w:sz w:val="20"/>
          <w:szCs w:val="20"/>
        </w:rPr>
        <w:t>BNP Paribas | Sr. Consultant (On PayrollInfrasoft Technologies)  2013 – 2017</w:t>
      </w:r>
    </w:p>
    <w:p>
      <w:pPr>
        <w:spacing w:after="0" w:line="205" w:lineRule="atLeast"/>
        <w:ind w:right="416"/>
        <w:jc w:val="both"/>
        <w:rPr>
          <w:sz w:val="18"/>
          <w:szCs w:val="18"/>
        </w:rPr>
      </w:pPr>
      <w:r>
        <w:rPr>
          <w:rFonts w:eastAsia="Arial"/>
          <w:smallCaps/>
          <w:color w:val="002060"/>
          <w:sz w:val="18"/>
          <w:szCs w:val="18"/>
        </w:rPr>
        <w:t>Key Focus</w:t>
      </w:r>
      <w:r>
        <w:rPr>
          <w:rFonts w:eastAsia="Arial"/>
          <w:b/>
          <w:color w:val="002060"/>
          <w:sz w:val="18"/>
          <w:szCs w:val="18"/>
        </w:rPr>
        <w:t>:</w:t>
      </w:r>
      <w:r>
        <w:rPr>
          <w:sz w:val="18"/>
          <w:szCs w:val="18"/>
        </w:rPr>
        <w:t xml:space="preserve"> Business Analysis| FIX Stimulations| </w:t>
      </w:r>
      <w:r>
        <w:rPr>
          <w:b/>
          <w:bCs/>
          <w:sz w:val="18"/>
          <w:szCs w:val="18"/>
        </w:rPr>
        <w:t>Fedissa Order Management System</w:t>
      </w:r>
      <w:r>
        <w:rPr>
          <w:sz w:val="18"/>
          <w:szCs w:val="18"/>
        </w:rPr>
        <w:t xml:space="preserve"> | Front Office  Operational Transformation | New Product Development | ECN’s – ARCA, Bloomberg, Millinium</w:t>
      </w:r>
    </w:p>
    <w:p>
      <w:pPr>
        <w:spacing w:after="0" w:line="205" w:lineRule="atLeast"/>
        <w:ind w:right="416"/>
        <w:jc w:val="both"/>
        <w:rPr>
          <w:sz w:val="18"/>
          <w:szCs w:val="18"/>
        </w:rPr>
      </w:pPr>
      <w:r>
        <w:rPr>
          <w:rFonts w:eastAsia="Arial"/>
          <w:color w:val="002060"/>
          <w:sz w:val="18"/>
          <w:szCs w:val="18"/>
        </w:rPr>
        <w:t>Functional Area</w:t>
      </w:r>
      <w:r>
        <w:rPr>
          <w:rFonts w:eastAsia="Arial"/>
          <w:b/>
          <w:bCs/>
          <w:color w:val="002060"/>
          <w:sz w:val="18"/>
          <w:szCs w:val="18"/>
        </w:rPr>
        <w:t>:</w:t>
      </w:r>
      <w:r>
        <w:rPr>
          <w:sz w:val="18"/>
          <w:szCs w:val="18"/>
        </w:rPr>
        <w:t>Order Management | FIX 4.2 | Cash equities| Order types| FIX Log Validations | FIX Connectivity | Order Routing</w:t>
      </w:r>
    </w:p>
    <w:p>
      <w:pPr>
        <w:spacing w:after="0" w:line="240" w:lineRule="auto"/>
        <w:rPr>
          <w:sz w:val="18"/>
          <w:szCs w:val="18"/>
        </w:rPr>
      </w:pPr>
      <w:r>
        <w:rPr>
          <w:rFonts w:eastAsia="Arial"/>
          <w:smallCaps/>
          <w:color w:val="002060"/>
          <w:sz w:val="18"/>
          <w:szCs w:val="18"/>
        </w:rPr>
        <w:t>Team Size:</w:t>
      </w:r>
      <w:r>
        <w:rPr>
          <w:sz w:val="18"/>
          <w:szCs w:val="18"/>
        </w:rPr>
        <w:t>12 members comprising BA/QA&amp;DEV</w:t>
      </w:r>
    </w:p>
    <w:p>
      <w:pPr>
        <w:spacing w:after="0" w:line="240" w:lineRule="auto"/>
        <w:rPr>
          <w:rFonts w:eastAsia="Arial"/>
          <w:b/>
          <w:color w:val="002060"/>
          <w:sz w:val="20"/>
          <w:szCs w:val="20"/>
        </w:rPr>
      </w:pPr>
    </w:p>
    <w:p>
      <w:pPr>
        <w:numPr>
          <w:ilvl w:val="0"/>
          <w:numId w:val="1"/>
        </w:numPr>
        <w:spacing w:line="240" w:lineRule="auto"/>
        <w:ind w:left="450" w:hanging="357"/>
        <w:contextualSpacing/>
        <w:jc w:val="both"/>
        <w:rPr>
          <w:rFonts w:eastAsia="Arial"/>
          <w:sz w:val="18"/>
          <w:szCs w:val="18"/>
        </w:rPr>
      </w:pPr>
      <w:r>
        <w:rPr>
          <w:rFonts w:eastAsia="Arial"/>
          <w:sz w:val="18"/>
          <w:szCs w:val="18"/>
        </w:rPr>
        <w:t>Facilitating the scrum ceremonies like product backlog sessions, spintplanning,daily scrum, sprint retrospective and estimation for the next quarter.</w:t>
      </w:r>
    </w:p>
    <w:p>
      <w:pPr>
        <w:numPr>
          <w:ilvl w:val="0"/>
          <w:numId w:val="1"/>
        </w:numPr>
        <w:spacing w:line="240" w:lineRule="auto"/>
        <w:ind w:left="450" w:hanging="357"/>
        <w:contextualSpacing/>
        <w:jc w:val="both"/>
        <w:rPr>
          <w:rFonts w:eastAsia="Arial"/>
          <w:sz w:val="18"/>
          <w:szCs w:val="18"/>
        </w:rPr>
      </w:pPr>
      <w:r>
        <w:rPr>
          <w:rFonts w:eastAsia="Arial"/>
          <w:sz w:val="18"/>
          <w:szCs w:val="18"/>
        </w:rPr>
        <w:t>Application ownership taking the responsibilities of application, Interaction with Ops groups conducting questioneries for better user satisfaction and also point of contact of functional part of the application</w:t>
      </w:r>
    </w:p>
    <w:p>
      <w:pPr>
        <w:numPr>
          <w:ilvl w:val="0"/>
          <w:numId w:val="1"/>
        </w:numPr>
        <w:spacing w:line="240" w:lineRule="auto"/>
        <w:ind w:left="450" w:hanging="357"/>
        <w:contextualSpacing/>
        <w:jc w:val="both"/>
        <w:rPr>
          <w:rFonts w:eastAsia="Arial"/>
          <w:sz w:val="18"/>
          <w:szCs w:val="18"/>
        </w:rPr>
      </w:pPr>
      <w:r>
        <w:rPr>
          <w:rFonts w:eastAsia="Arial"/>
          <w:sz w:val="18"/>
          <w:szCs w:val="18"/>
        </w:rPr>
        <w:t>Conducted stakeholder joint application design (JAD) interviews and facilitated meetings with project teams.</w:t>
      </w:r>
    </w:p>
    <w:p>
      <w:pPr>
        <w:numPr>
          <w:ilvl w:val="0"/>
          <w:numId w:val="1"/>
        </w:numPr>
        <w:spacing w:line="240" w:lineRule="auto"/>
        <w:ind w:left="450" w:hanging="357"/>
        <w:contextualSpacing/>
        <w:jc w:val="both"/>
        <w:rPr>
          <w:rFonts w:eastAsia="Arial"/>
          <w:sz w:val="18"/>
          <w:szCs w:val="18"/>
        </w:rPr>
      </w:pPr>
      <w:r>
        <w:rPr>
          <w:rFonts w:eastAsia="Arial"/>
          <w:sz w:val="18"/>
          <w:szCs w:val="18"/>
        </w:rPr>
        <w:t>Developing PRD ( Product Required Document ) and product plan for internal stakeholders, Version Updates and requirement prioritizations.</w:t>
      </w:r>
    </w:p>
    <w:p>
      <w:pPr>
        <w:numPr>
          <w:ilvl w:val="0"/>
          <w:numId w:val="1"/>
        </w:numPr>
        <w:spacing w:line="240" w:lineRule="auto"/>
        <w:ind w:left="450" w:hanging="357"/>
        <w:contextualSpacing/>
        <w:jc w:val="both"/>
        <w:rPr>
          <w:rFonts w:eastAsia="Arial"/>
          <w:sz w:val="18"/>
          <w:szCs w:val="18"/>
        </w:rPr>
      </w:pPr>
      <w:r>
        <w:rPr>
          <w:rFonts w:eastAsia="Arial"/>
          <w:sz w:val="18"/>
          <w:szCs w:val="18"/>
        </w:rPr>
        <w:t>Validating the FIX logs for the various issues like order routing, order rejects reason, order execution, Partial and full fill of order, session rejects and Business rejects for the orders.</w:t>
      </w:r>
    </w:p>
    <w:p>
      <w:pPr>
        <w:spacing w:line="240" w:lineRule="auto"/>
        <w:ind w:left="450"/>
        <w:contextualSpacing/>
        <w:jc w:val="both"/>
        <w:rPr>
          <w:rFonts w:eastAsia="Arial"/>
          <w:sz w:val="18"/>
          <w:szCs w:val="18"/>
        </w:rPr>
      </w:pPr>
    </w:p>
    <w:p>
      <w:pPr>
        <w:spacing w:after="0" w:line="240" w:lineRule="auto"/>
        <w:rPr>
          <w:rFonts w:eastAsia="Arial"/>
          <w:b/>
          <w:color w:val="002060"/>
          <w:sz w:val="20"/>
          <w:szCs w:val="20"/>
        </w:rPr>
      </w:pPr>
      <w:r>
        <w:rPr>
          <w:rFonts w:eastAsia="Arial"/>
          <w:b/>
          <w:color w:val="002060"/>
          <w:sz w:val="20"/>
          <w:szCs w:val="20"/>
        </w:rPr>
        <w:t>Saxo Bank| Functional Consultant  2011 – 2012</w:t>
      </w:r>
    </w:p>
    <w:p>
      <w:pPr>
        <w:spacing w:after="0" w:line="205" w:lineRule="atLeast"/>
        <w:ind w:right="416"/>
        <w:jc w:val="both"/>
        <w:rPr>
          <w:sz w:val="18"/>
          <w:szCs w:val="18"/>
        </w:rPr>
      </w:pPr>
      <w:r>
        <w:rPr>
          <w:rFonts w:eastAsia="Arial"/>
          <w:smallCaps/>
          <w:color w:val="002060"/>
          <w:sz w:val="18"/>
          <w:szCs w:val="18"/>
        </w:rPr>
        <w:t>Key Focus</w:t>
      </w:r>
      <w:r>
        <w:rPr>
          <w:rFonts w:eastAsia="Arial"/>
          <w:b/>
          <w:color w:val="002060"/>
          <w:sz w:val="18"/>
          <w:szCs w:val="18"/>
        </w:rPr>
        <w:t>:</w:t>
      </w:r>
      <w:r>
        <w:rPr>
          <w:sz w:val="18"/>
          <w:szCs w:val="18"/>
        </w:rPr>
        <w:t xml:space="preserve"> Business Analysis| </w:t>
      </w:r>
      <w:r>
        <w:rPr>
          <w:b/>
          <w:bCs/>
          <w:sz w:val="18"/>
          <w:szCs w:val="18"/>
        </w:rPr>
        <w:t>FXFront Office Trading Platform</w:t>
      </w:r>
      <w:r>
        <w:rPr>
          <w:sz w:val="18"/>
          <w:szCs w:val="18"/>
        </w:rPr>
        <w:t>| Forex OTC | DMA | Liquidity Providers</w:t>
      </w:r>
    </w:p>
    <w:p>
      <w:pPr>
        <w:spacing w:after="0" w:line="205" w:lineRule="atLeast"/>
        <w:ind w:right="416"/>
        <w:jc w:val="both"/>
        <w:rPr>
          <w:sz w:val="18"/>
          <w:szCs w:val="18"/>
        </w:rPr>
      </w:pPr>
      <w:r>
        <w:rPr>
          <w:rFonts w:eastAsia="Arial"/>
          <w:color w:val="002060"/>
          <w:sz w:val="18"/>
          <w:szCs w:val="18"/>
        </w:rPr>
        <w:t>Functional Area</w:t>
      </w:r>
      <w:r>
        <w:rPr>
          <w:rFonts w:eastAsia="Arial"/>
          <w:b/>
          <w:bCs/>
          <w:color w:val="002060"/>
          <w:sz w:val="18"/>
          <w:szCs w:val="18"/>
        </w:rPr>
        <w:t>:</w:t>
      </w:r>
      <w:r>
        <w:rPr>
          <w:sz w:val="18"/>
          <w:szCs w:val="18"/>
        </w:rPr>
        <w:t xml:space="preserve">Order Management | Spot,Forward,Options | Exotic Options like No-Touch,One-Touch,Knock in and Knock out </w:t>
      </w:r>
    </w:p>
    <w:p>
      <w:pPr>
        <w:spacing w:after="0" w:line="240" w:lineRule="auto"/>
        <w:rPr>
          <w:sz w:val="18"/>
          <w:szCs w:val="18"/>
        </w:rPr>
      </w:pPr>
      <w:r>
        <w:rPr>
          <w:rFonts w:eastAsia="Arial"/>
          <w:smallCaps/>
          <w:color w:val="002060"/>
          <w:sz w:val="18"/>
          <w:szCs w:val="18"/>
        </w:rPr>
        <w:t>Team Size:</w:t>
      </w:r>
      <w:r>
        <w:rPr>
          <w:sz w:val="18"/>
          <w:szCs w:val="18"/>
        </w:rPr>
        <w:t>10 members comprising BA/QA&amp;DEV</w:t>
      </w:r>
    </w:p>
    <w:p>
      <w:pPr>
        <w:spacing w:after="0" w:line="240" w:lineRule="auto"/>
        <w:rPr>
          <w:sz w:val="18"/>
          <w:szCs w:val="18"/>
        </w:rPr>
      </w:pPr>
    </w:p>
    <w:p>
      <w:pPr>
        <w:numPr>
          <w:ilvl w:val="0"/>
          <w:numId w:val="1"/>
        </w:numPr>
        <w:spacing w:line="240" w:lineRule="auto"/>
        <w:ind w:left="450" w:hanging="357"/>
        <w:contextualSpacing/>
        <w:jc w:val="both"/>
        <w:rPr>
          <w:rFonts w:eastAsia="Arial"/>
          <w:sz w:val="18"/>
          <w:szCs w:val="18"/>
        </w:rPr>
      </w:pPr>
      <w:r>
        <w:rPr>
          <w:rFonts w:eastAsia="Arial"/>
          <w:sz w:val="18"/>
          <w:szCs w:val="18"/>
        </w:rPr>
        <w:t>Analysis and documentation of business flows for multiple asset classes supported by the front office trading system.</w:t>
      </w:r>
    </w:p>
    <w:p>
      <w:pPr>
        <w:numPr>
          <w:ilvl w:val="0"/>
          <w:numId w:val="1"/>
        </w:numPr>
        <w:spacing w:line="240" w:lineRule="auto"/>
        <w:ind w:left="450" w:hanging="357"/>
        <w:contextualSpacing/>
        <w:jc w:val="both"/>
        <w:rPr>
          <w:rFonts w:eastAsia="Arial"/>
          <w:sz w:val="18"/>
          <w:szCs w:val="18"/>
        </w:rPr>
      </w:pPr>
      <w:r>
        <w:rPr>
          <w:rFonts w:eastAsia="Arial"/>
          <w:sz w:val="18"/>
          <w:szCs w:val="18"/>
        </w:rPr>
        <w:t xml:space="preserve">Interviews with various product owners for various systems/interfaces such as Trader System (Market Makers), DMA (Level 2 trading system), ECN/Darkpools system/interfaces, Sales Users (Sales Station), Client User (Web Platform and Mobile Platform)to find the core problem areas and recommend rationalization approaches. </w:t>
      </w:r>
    </w:p>
    <w:p>
      <w:pPr>
        <w:numPr>
          <w:ilvl w:val="0"/>
          <w:numId w:val="1"/>
        </w:numPr>
        <w:spacing w:line="240" w:lineRule="auto"/>
        <w:ind w:left="450" w:hanging="357"/>
        <w:contextualSpacing/>
        <w:jc w:val="both"/>
        <w:rPr>
          <w:rFonts w:eastAsia="Arial"/>
          <w:sz w:val="18"/>
          <w:szCs w:val="18"/>
        </w:rPr>
      </w:pPr>
      <w:r>
        <w:rPr>
          <w:rFonts w:eastAsia="Arial"/>
          <w:sz w:val="18"/>
          <w:szCs w:val="18"/>
        </w:rPr>
        <w:t>Involved in certification testing FIX messages, testing STP services, Give-up, Barrier monitor service, Expiry Services, Margin Calculation service etc. and functional verification ensuring no business workflows are broken</w:t>
      </w:r>
    </w:p>
    <w:p>
      <w:pPr>
        <w:spacing w:after="0" w:line="240" w:lineRule="auto"/>
        <w:rPr>
          <w:sz w:val="18"/>
          <w:szCs w:val="18"/>
        </w:rPr>
      </w:pPr>
    </w:p>
    <w:p>
      <w:pPr>
        <w:spacing w:line="240" w:lineRule="auto"/>
        <w:ind w:left="450"/>
        <w:contextualSpacing/>
        <w:jc w:val="both"/>
        <w:rPr>
          <w:rFonts w:eastAsia="Arial"/>
          <w:sz w:val="18"/>
          <w:szCs w:val="18"/>
        </w:rPr>
      </w:pPr>
    </w:p>
    <w:p>
      <w:pPr>
        <w:pStyle w:val="13"/>
        <w:spacing w:after="0"/>
        <w:ind w:left="540"/>
        <w:rPr>
          <w:sz w:val="10"/>
          <w:szCs w:val="10"/>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65"/>
        <w:gridCol w:w="5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65" w:type="dxa"/>
            <w:tcBorders>
              <w:top w:val="single" w:color="2E75B5" w:themeColor="accent1" w:themeShade="BF" w:sz="4" w:space="0"/>
              <w:left w:val="single" w:color="1F4E79" w:sz="4" w:space="0"/>
              <w:bottom w:val="single" w:color="1F4E79" w:sz="4" w:space="0"/>
              <w:right w:val="single" w:color="1F4E79" w:themeColor="accent1" w:themeShade="80" w:sz="4" w:space="0"/>
            </w:tcBorders>
            <w:shd w:val="clear" w:color="auto" w:fill="1F4E79" w:themeFill="accent1" w:themeFillShade="80"/>
          </w:tcPr>
          <w:p>
            <w:pPr>
              <w:spacing w:after="0" w:line="240" w:lineRule="auto"/>
              <w:jc w:val="both"/>
              <w:rPr>
                <w:rFonts w:ascii="Cambria" w:hAnsi="Cambria"/>
                <w:caps/>
                <w:sz w:val="20"/>
                <w:szCs w:val="20"/>
              </w:rPr>
            </w:pPr>
            <w:r>
              <w:rPr>
                <w:rFonts w:ascii="Cambria" w:hAnsi="Cambria"/>
                <w:caps/>
                <w:color w:val="FFFFFF" w:themeColor="background1"/>
                <w:sz w:val="20"/>
                <w:szCs w:val="20"/>
              </w:rPr>
              <w:t xml:space="preserve">Previous Assignments </w:t>
            </w:r>
          </w:p>
        </w:tc>
        <w:tc>
          <w:tcPr>
            <w:tcW w:w="5130" w:type="dxa"/>
            <w:tcBorders>
              <w:top w:val="nil"/>
              <w:left w:val="single" w:color="1F4E79" w:themeColor="accent1" w:themeShade="80" w:sz="4" w:space="0"/>
              <w:bottom w:val="single" w:color="1F4E79" w:themeColor="accent1" w:themeShade="80" w:sz="4" w:space="0"/>
              <w:right w:val="nil"/>
            </w:tcBorders>
          </w:tcPr>
          <w:p>
            <w:pPr>
              <w:spacing w:after="0" w:line="240" w:lineRule="auto"/>
              <w:jc w:val="both"/>
              <w:rPr>
                <w:sz w:val="20"/>
                <w:szCs w:val="20"/>
              </w:rPr>
            </w:pPr>
          </w:p>
        </w:tc>
      </w:tr>
    </w:tbl>
    <w:p>
      <w:pPr>
        <w:spacing w:after="60" w:line="240" w:lineRule="auto"/>
        <w:jc w:val="both"/>
        <w:rPr>
          <w:rFonts w:eastAsia="Arial"/>
          <w:b/>
          <w:color w:val="002060"/>
          <w:sz w:val="18"/>
          <w:szCs w:val="18"/>
        </w:rPr>
      </w:pPr>
      <w:r>
        <w:rPr>
          <w:rFonts w:eastAsia="Arial"/>
          <w:b/>
          <w:color w:val="002060"/>
          <w:sz w:val="18"/>
          <w:szCs w:val="18"/>
        </w:rPr>
        <w:t>Ingratis</w:t>
      </w:r>
      <w:r>
        <w:rPr>
          <w:rFonts w:eastAsia="Arial"/>
          <w:bCs/>
          <w:color w:val="002060"/>
          <w:sz w:val="18"/>
          <w:szCs w:val="18"/>
        </w:rPr>
        <w:t>|Functional Consultant - Reported to Project Manager | 2018 - 2011</w:t>
      </w:r>
      <w:r>
        <w:rPr>
          <w:rFonts w:eastAsia="Arial"/>
          <w:b/>
          <w:color w:val="002060"/>
          <w:sz w:val="18"/>
          <w:szCs w:val="18"/>
        </w:rPr>
        <w:tab/>
      </w:r>
    </w:p>
    <w:p>
      <w:pPr>
        <w:spacing w:after="60" w:line="240" w:lineRule="auto"/>
        <w:jc w:val="both"/>
        <w:rPr>
          <w:rFonts w:eastAsia="Arial"/>
          <w:bCs/>
          <w:color w:val="002060"/>
          <w:sz w:val="18"/>
          <w:szCs w:val="18"/>
        </w:rPr>
      </w:pPr>
      <w:r>
        <w:rPr>
          <w:rFonts w:eastAsia="Arial"/>
          <w:b/>
          <w:color w:val="002060"/>
          <w:sz w:val="18"/>
          <w:szCs w:val="18"/>
        </w:rPr>
        <w:t xml:space="preserve">Hold Brothers LLC (Trenchant Trading Systems) </w:t>
      </w:r>
      <w:r>
        <w:rPr>
          <w:rFonts w:eastAsia="Arial"/>
          <w:bCs/>
          <w:color w:val="002060"/>
          <w:sz w:val="18"/>
          <w:szCs w:val="18"/>
        </w:rPr>
        <w:t>Senior Trader – Reported to Head of  Trading | 2007 – 2008</w:t>
      </w:r>
    </w:p>
    <w:p>
      <w:pPr>
        <w:spacing w:after="60" w:line="240" w:lineRule="auto"/>
        <w:jc w:val="both"/>
        <w:rPr>
          <w:rFonts w:eastAsia="Arial"/>
          <w:bCs/>
          <w:color w:val="002060"/>
          <w:sz w:val="18"/>
          <w:szCs w:val="18"/>
        </w:rPr>
      </w:pPr>
    </w:p>
    <w:p>
      <w:pPr>
        <w:spacing w:after="0"/>
        <w:jc w:val="both"/>
        <w:rPr>
          <w:sz w:val="10"/>
          <w:szCs w:val="10"/>
        </w:rPr>
      </w:pPr>
    </w:p>
    <w:p>
      <w:pPr>
        <w:spacing w:after="0"/>
        <w:jc w:val="both"/>
        <w:rPr>
          <w:sz w:val="10"/>
          <w:szCs w:val="10"/>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5"/>
        <w:gridCol w:w="7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2965" w:type="dxa"/>
            <w:tcBorders>
              <w:top w:val="single" w:color="2E75B5" w:themeColor="accent1" w:themeShade="BF" w:sz="4" w:space="0"/>
              <w:left w:val="single" w:color="1F4E79" w:sz="4" w:space="0"/>
              <w:bottom w:val="single" w:color="1F4E79" w:sz="4" w:space="0"/>
              <w:right w:val="single" w:color="1F4E79" w:themeColor="accent1" w:themeShade="80" w:sz="4" w:space="0"/>
            </w:tcBorders>
            <w:shd w:val="clear" w:color="auto" w:fill="1F4E79" w:themeFill="accent1" w:themeFillShade="80"/>
          </w:tcPr>
          <w:p>
            <w:pPr>
              <w:spacing w:after="0" w:line="240" w:lineRule="auto"/>
              <w:jc w:val="both"/>
              <w:rPr>
                <w:rFonts w:ascii="Cambria" w:hAnsi="Cambria"/>
                <w:caps/>
                <w:sz w:val="20"/>
                <w:szCs w:val="20"/>
              </w:rPr>
            </w:pPr>
            <w:r>
              <w:rPr>
                <w:rFonts w:ascii="Cambria" w:hAnsi="Cambria"/>
                <w:caps/>
                <w:color w:val="FFFFFF" w:themeColor="background1"/>
                <w:sz w:val="20"/>
                <w:szCs w:val="20"/>
              </w:rPr>
              <w:t xml:space="preserve">Awards &amp; Recognitions </w:t>
            </w:r>
          </w:p>
        </w:tc>
        <w:tc>
          <w:tcPr>
            <w:tcW w:w="7830" w:type="dxa"/>
            <w:tcBorders>
              <w:top w:val="nil"/>
              <w:left w:val="single" w:color="1F4E79" w:themeColor="accent1" w:themeShade="80" w:sz="4" w:space="0"/>
              <w:bottom w:val="single" w:color="1F4E79" w:themeColor="accent1" w:themeShade="80" w:sz="4" w:space="0"/>
              <w:right w:val="nil"/>
            </w:tcBorders>
          </w:tcPr>
          <w:p>
            <w:pPr>
              <w:spacing w:after="0" w:line="240" w:lineRule="auto"/>
              <w:jc w:val="both"/>
              <w:rPr>
                <w:sz w:val="20"/>
                <w:szCs w:val="20"/>
              </w:rPr>
            </w:pPr>
          </w:p>
        </w:tc>
      </w:tr>
    </w:tbl>
    <w:p>
      <w:pPr>
        <w:spacing w:after="0"/>
        <w:jc w:val="both"/>
        <w:rPr>
          <w:sz w:val="20"/>
          <w:szCs w:val="20"/>
        </w:rPr>
      </w:pPr>
      <w:r>
        <w:rPr>
          <w:sz w:val="20"/>
          <w:szCs w:val="20"/>
        </w:rPr>
        <w:t>Credited with various awards like</w:t>
      </w:r>
    </w:p>
    <w:p>
      <w:pPr>
        <w:numPr>
          <w:ilvl w:val="0"/>
          <w:numId w:val="1"/>
        </w:numPr>
        <w:spacing w:line="240" w:lineRule="auto"/>
        <w:ind w:left="450" w:hanging="357"/>
        <w:contextualSpacing/>
        <w:jc w:val="both"/>
        <w:rPr>
          <w:rFonts w:eastAsia="Arial"/>
          <w:sz w:val="18"/>
          <w:szCs w:val="18"/>
        </w:rPr>
      </w:pPr>
      <w:r>
        <w:rPr>
          <w:rFonts w:eastAsia="Arial"/>
          <w:sz w:val="18"/>
          <w:szCs w:val="18"/>
        </w:rPr>
        <w:t>“Best Business Analyst Leader and Best BA Team Lead Award” by the MD | 2016</w:t>
      </w:r>
    </w:p>
    <w:p>
      <w:pPr>
        <w:numPr>
          <w:ilvl w:val="0"/>
          <w:numId w:val="1"/>
        </w:numPr>
        <w:spacing w:line="240" w:lineRule="auto"/>
        <w:ind w:left="450" w:hanging="357"/>
        <w:contextualSpacing/>
        <w:jc w:val="both"/>
        <w:rPr>
          <w:rFonts w:eastAsia="Arial"/>
          <w:sz w:val="18"/>
          <w:szCs w:val="18"/>
        </w:rPr>
      </w:pPr>
      <w:r>
        <w:rPr>
          <w:rFonts w:eastAsia="Arial"/>
          <w:sz w:val="18"/>
          <w:szCs w:val="18"/>
        </w:rPr>
        <w:t>“Pat on the Back Award” for the FX Application -Saxo Bank| 2011</w:t>
      </w:r>
    </w:p>
    <w:p>
      <w:pPr>
        <w:numPr>
          <w:ilvl w:val="0"/>
          <w:numId w:val="1"/>
        </w:numPr>
        <w:spacing w:line="240" w:lineRule="auto"/>
        <w:ind w:left="450" w:hanging="357"/>
        <w:contextualSpacing/>
        <w:jc w:val="both"/>
        <w:rPr>
          <w:rFonts w:eastAsia="Arial"/>
          <w:sz w:val="18"/>
          <w:szCs w:val="18"/>
        </w:rPr>
      </w:pPr>
      <w:r>
        <w:rPr>
          <w:rFonts w:eastAsia="Arial"/>
          <w:sz w:val="18"/>
          <w:szCs w:val="18"/>
        </w:rPr>
        <w:t>Participate in various industry conferences NASCOM, Product Leadership Forum (PLF) TeDX, IIBA, GARP.</w:t>
      </w:r>
    </w:p>
    <w:p>
      <w:pPr>
        <w:spacing w:after="0"/>
        <w:jc w:val="both"/>
        <w:rPr>
          <w:sz w:val="10"/>
          <w:szCs w:val="10"/>
        </w:rPr>
      </w:pPr>
    </w:p>
    <w:p>
      <w:pPr>
        <w:spacing w:after="0"/>
        <w:jc w:val="both"/>
        <w:rPr>
          <w:sz w:val="10"/>
          <w:szCs w:val="10"/>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5"/>
        <w:gridCol w:w="7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5" w:type="dxa"/>
            <w:tcBorders>
              <w:top w:val="single" w:color="2E75B5" w:themeColor="accent1" w:themeShade="BF" w:sz="4" w:space="0"/>
              <w:left w:val="single" w:color="1F4E79" w:sz="4" w:space="0"/>
              <w:bottom w:val="single" w:color="1F4E79" w:sz="4" w:space="0"/>
              <w:right w:val="single" w:color="1F4E79" w:themeColor="accent1" w:themeShade="80" w:sz="4" w:space="0"/>
            </w:tcBorders>
            <w:shd w:val="clear" w:color="auto" w:fill="1F4E79" w:themeFill="accent1" w:themeFillShade="80"/>
          </w:tcPr>
          <w:p>
            <w:pPr>
              <w:spacing w:after="0" w:line="240" w:lineRule="auto"/>
              <w:jc w:val="both"/>
              <w:rPr>
                <w:rFonts w:ascii="Cambria" w:hAnsi="Cambria"/>
                <w:sz w:val="20"/>
                <w:szCs w:val="20"/>
              </w:rPr>
            </w:pPr>
            <w:r>
              <w:rPr>
                <w:rFonts w:ascii="Cambria" w:hAnsi="Cambria"/>
                <w:color w:val="FFFFFF" w:themeColor="background1"/>
                <w:sz w:val="20"/>
                <w:szCs w:val="20"/>
              </w:rPr>
              <w:t xml:space="preserve">EDUCATION </w:t>
            </w:r>
          </w:p>
        </w:tc>
        <w:tc>
          <w:tcPr>
            <w:tcW w:w="7830" w:type="dxa"/>
            <w:tcBorders>
              <w:top w:val="nil"/>
              <w:left w:val="single" w:color="1F4E79" w:themeColor="accent1" w:themeShade="80" w:sz="4" w:space="0"/>
              <w:bottom w:val="single" w:color="1F4E79" w:themeColor="accent1" w:themeShade="80" w:sz="4" w:space="0"/>
              <w:right w:val="nil"/>
            </w:tcBorders>
          </w:tcPr>
          <w:p>
            <w:pPr>
              <w:spacing w:after="0" w:line="240" w:lineRule="auto"/>
              <w:jc w:val="both"/>
              <w:rPr>
                <w:sz w:val="20"/>
                <w:szCs w:val="20"/>
              </w:rPr>
            </w:pPr>
          </w:p>
        </w:tc>
      </w:tr>
    </w:tbl>
    <w:p>
      <w:pPr>
        <w:spacing w:after="0" w:line="240" w:lineRule="auto"/>
        <w:jc w:val="both"/>
        <w:rPr>
          <w:b/>
          <w:bCs/>
          <w:sz w:val="10"/>
          <w:szCs w:val="10"/>
        </w:rPr>
      </w:pPr>
    </w:p>
    <w:p>
      <w:pPr>
        <w:spacing w:after="0" w:line="240" w:lineRule="atLeast"/>
        <w:jc w:val="both"/>
        <w:rPr>
          <w:sz w:val="20"/>
          <w:szCs w:val="20"/>
        </w:rPr>
      </w:pPr>
      <w:r>
        <w:rPr>
          <w:b/>
          <w:bCs/>
          <w:sz w:val="20"/>
          <w:szCs w:val="20"/>
        </w:rPr>
        <w:t>Bachelor ofCommerce in Economics and Statistics</w:t>
      </w:r>
      <w:r>
        <w:rPr>
          <w:b/>
          <w:bCs/>
          <w:sz w:val="20"/>
          <w:szCs w:val="20"/>
        </w:rPr>
        <w:tab/>
      </w:r>
      <w:r>
        <w:rPr>
          <w:b/>
          <w:bCs/>
          <w:sz w:val="20"/>
          <w:szCs w:val="20"/>
        </w:rPr>
        <w:t xml:space="preserve">| </w:t>
      </w:r>
      <w:r>
        <w:rPr>
          <w:sz w:val="20"/>
          <w:szCs w:val="20"/>
        </w:rPr>
        <w:t>Andhra University,Visakhapatnam</w:t>
      </w:r>
    </w:p>
    <w:p>
      <w:pPr>
        <w:spacing w:after="0"/>
        <w:jc w:val="both"/>
        <w:rPr>
          <w:sz w:val="6"/>
          <w:szCs w:val="6"/>
        </w:rPr>
      </w:pPr>
    </w:p>
    <w:p>
      <w:pPr>
        <w:spacing w:after="0"/>
        <w:rPr>
          <w:b/>
          <w:sz w:val="20"/>
          <w:szCs w:val="20"/>
        </w:rPr>
      </w:pPr>
    </w:p>
    <w:p>
      <w:pPr>
        <w:spacing w:after="0"/>
        <w:jc w:val="center"/>
        <w:rPr>
          <w:b/>
          <w:sz w:val="20"/>
          <w:szCs w:val="20"/>
        </w:rPr>
      </w:pPr>
      <w:r>
        <w:pict>
          <v:shape id="_x0000_s1026" o:spid="_x0000_s1026" o:spt="75" type="#_x0000_t75" style="position:absolute;left:0pt;margin-left:0pt;margin-top:0pt;height:1pt;width:1pt;z-index:251659264;mso-width-relative:page;mso-height-relative:page;" filled="f" o:preferrelative="t" stroked="f" coordsize="21600,21600">
            <v:path/>
            <v:fill on="f" focussize="0,0"/>
            <v:stroke on="f" joinstyle="miter"/>
            <v:imagedata o:title=""/>
            <o:lock v:ext="edit" aspectratio="t"/>
          </v:shape>
        </w:pict>
      </w:r>
      <w:r>
        <w:pict>
          <v:shape id="_x0000_s1027" o:spid="_x0000_s1027" o:spt="75" type="#_x0000_t75" style="position:absolute;left:0pt;margin-left:0pt;margin-top:0pt;height:1pt;width:1pt;z-index:251660288;mso-width-relative:page;mso-height-relative:page;" filled="f" o:preferrelative="t" stroked="f" coordsize="21600,21600">
            <v:path/>
            <v:fill on="f" focussize="0,0"/>
            <v:stroke on="f" joinstyle="miter"/>
            <v:imagedata o:title=""/>
            <o:lock v:ext="edit" aspectratio="t"/>
          </v:shape>
        </w:pict>
      </w:r>
    </w:p>
    <w:sectPr>
      <w:headerReference r:id="rId5" w:type="default"/>
      <w:pgSz w:w="12240" w:h="15840"/>
      <w:pgMar w:top="180" w:right="720" w:bottom="540" w:left="72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0000000000000000000"/>
    <w:charset w:val="00"/>
    <w:family w:val="auto"/>
    <w:pitch w:val="default"/>
    <w:sig w:usb0="00000000" w:usb1="00000000" w:usb2="00000000" w:usb3="00000000" w:csb0="00000000" w:csb1="00000000"/>
  </w:font>
  <w:font w:name="Segoe UI">
    <w:altName w:val="FreeSans"/>
    <w:panose1 w:val="020B0502040204020203"/>
    <w:charset w:val="00"/>
    <w:family w:val="swiss"/>
    <w:pitch w:val="default"/>
    <w:sig w:usb0="00000000" w:usb1="00000000" w:usb2="00000029" w:usb3="00000000" w:csb0="000001DF" w:csb1="00000000"/>
  </w:font>
  <w:font w:name="FreeSans">
    <w:panose1 w:val="020B0504020202020204"/>
    <w:charset w:val="00"/>
    <w:family w:val="auto"/>
    <w:pitch w:val="default"/>
    <w:sig w:usb0="E4839EFF" w:usb1="4600FDFF" w:usb2="000030A0" w:usb3="00000584" w:csb0="600001BF" w:csb1="DFF70000"/>
  </w:font>
  <w:font w:name="Cambria">
    <w:altName w:val="FreeSerif"/>
    <w:panose1 w:val="02040503050406030204"/>
    <w:charset w:val="00"/>
    <w:family w:val="roman"/>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Arial Unicode MS">
    <w:altName w:val="DejaVu Sans"/>
    <w:panose1 w:val="020B0604020202020204"/>
    <w:charset w:val="80"/>
    <w:family w:val="swiss"/>
    <w:pitch w:val="default"/>
    <w:sig w:usb0="00000000" w:usb1="00000000" w:usb2="0000003F" w:usb3="00000000" w:csb0="003F01FF" w:csb1="00000000"/>
  </w:font>
  <w:font w:name="Wingdings">
    <w:altName w:val="AnjaliOldLipi"/>
    <w:panose1 w:val="05000000000000000000"/>
    <w:charset w:val="4D"/>
    <w:family w:val="decorative"/>
    <w:pitch w:val="default"/>
    <w:sig w:usb0="00000000" w:usb1="00000000" w:usb2="00000000" w:usb3="00000000" w:csb0="80000001"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single" w:color="auto" w:sz="4" w:space="1"/>
      </w:pBdr>
      <w:jc w:val="right"/>
    </w:pPr>
    <w:r>
      <w:t>Kishore, Page 2 of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89131C"/>
    <w:multiLevelType w:val="multilevel"/>
    <w:tmpl w:val="6C89131C"/>
    <w:lvl w:ilvl="0" w:tentative="0">
      <w:start w:val="1"/>
      <w:numFmt w:val="bullet"/>
      <w:lvlText w:val=""/>
      <w:lvlJc w:val="left"/>
      <w:pPr>
        <w:ind w:left="630" w:hanging="360"/>
      </w:pPr>
      <w:rPr>
        <w:rFonts w:hint="default" w:ascii="Wingdings" w:hAnsi="Wingdings"/>
      </w:rPr>
    </w:lvl>
    <w:lvl w:ilvl="1" w:tentative="0">
      <w:start w:val="1"/>
      <w:numFmt w:val="bullet"/>
      <w:lvlText w:val=""/>
      <w:lvlJc w:val="left"/>
      <w:pPr>
        <w:ind w:left="1350" w:hanging="360"/>
      </w:pPr>
      <w:rPr>
        <w:rFonts w:hint="default" w:ascii="Wingdings" w:hAnsi="Wingdings"/>
      </w:rPr>
    </w:lvl>
    <w:lvl w:ilvl="2" w:tentative="0">
      <w:start w:val="1"/>
      <w:numFmt w:val="bullet"/>
      <w:lvlText w:val=""/>
      <w:lvlJc w:val="left"/>
      <w:pPr>
        <w:ind w:left="2070" w:hanging="360"/>
      </w:pPr>
      <w:rPr>
        <w:rFonts w:hint="default" w:ascii="Wingdings" w:hAnsi="Wingdings"/>
      </w:rPr>
    </w:lvl>
    <w:lvl w:ilvl="3" w:tentative="0">
      <w:start w:val="1"/>
      <w:numFmt w:val="bullet"/>
      <w:lvlText w:val=""/>
      <w:lvlJc w:val="left"/>
      <w:pPr>
        <w:ind w:left="2790" w:hanging="360"/>
      </w:pPr>
      <w:rPr>
        <w:rFonts w:hint="default" w:ascii="Symbol" w:hAnsi="Symbol"/>
      </w:rPr>
    </w:lvl>
    <w:lvl w:ilvl="4" w:tentative="0">
      <w:start w:val="1"/>
      <w:numFmt w:val="bullet"/>
      <w:lvlText w:val="o"/>
      <w:lvlJc w:val="left"/>
      <w:pPr>
        <w:ind w:left="3510" w:hanging="360"/>
      </w:pPr>
      <w:rPr>
        <w:rFonts w:hint="default" w:ascii="Courier New" w:hAnsi="Courier New" w:cs="Courier New"/>
      </w:rPr>
    </w:lvl>
    <w:lvl w:ilvl="5" w:tentative="0">
      <w:start w:val="1"/>
      <w:numFmt w:val="bullet"/>
      <w:lvlText w:val=""/>
      <w:lvlJc w:val="left"/>
      <w:pPr>
        <w:ind w:left="4230" w:hanging="360"/>
      </w:pPr>
      <w:rPr>
        <w:rFonts w:hint="default" w:ascii="Wingdings" w:hAnsi="Wingdings"/>
      </w:rPr>
    </w:lvl>
    <w:lvl w:ilvl="6" w:tentative="0">
      <w:start w:val="1"/>
      <w:numFmt w:val="bullet"/>
      <w:lvlText w:val=""/>
      <w:lvlJc w:val="left"/>
      <w:pPr>
        <w:ind w:left="4950" w:hanging="360"/>
      </w:pPr>
      <w:rPr>
        <w:rFonts w:hint="default" w:ascii="Symbol" w:hAnsi="Symbol"/>
      </w:rPr>
    </w:lvl>
    <w:lvl w:ilvl="7" w:tentative="0">
      <w:start w:val="1"/>
      <w:numFmt w:val="bullet"/>
      <w:lvlText w:val="o"/>
      <w:lvlJc w:val="left"/>
      <w:pPr>
        <w:ind w:left="5670" w:hanging="360"/>
      </w:pPr>
      <w:rPr>
        <w:rFonts w:hint="default" w:ascii="Courier New" w:hAnsi="Courier New" w:cs="Courier New"/>
      </w:rPr>
    </w:lvl>
    <w:lvl w:ilvl="8" w:tentative="0">
      <w:start w:val="1"/>
      <w:numFmt w:val="bullet"/>
      <w:lvlText w:val=""/>
      <w:lvlJc w:val="left"/>
      <w:pPr>
        <w:ind w:left="639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hideSpellingErrors/>
  <w:hideGrammaticalErrors/>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cyMLE0NDMxAiJzcyUdpeDU4uLM/DyQAtNaAGgzFTksAAAA"/>
  </w:docVars>
  <w:rsids>
    <w:rsidRoot w:val="008A4C52"/>
    <w:rsid w:val="00003A14"/>
    <w:rsid w:val="00012F96"/>
    <w:rsid w:val="0001340D"/>
    <w:rsid w:val="000140D1"/>
    <w:rsid w:val="00017267"/>
    <w:rsid w:val="00017CB2"/>
    <w:rsid w:val="0002358E"/>
    <w:rsid w:val="0002361A"/>
    <w:rsid w:val="000243B5"/>
    <w:rsid w:val="00032825"/>
    <w:rsid w:val="0003431E"/>
    <w:rsid w:val="0004365A"/>
    <w:rsid w:val="00045DF8"/>
    <w:rsid w:val="00046EEE"/>
    <w:rsid w:val="00062450"/>
    <w:rsid w:val="0006342F"/>
    <w:rsid w:val="00065780"/>
    <w:rsid w:val="00067C15"/>
    <w:rsid w:val="000701D7"/>
    <w:rsid w:val="0007387A"/>
    <w:rsid w:val="00074C5C"/>
    <w:rsid w:val="00082421"/>
    <w:rsid w:val="000868D3"/>
    <w:rsid w:val="0009012F"/>
    <w:rsid w:val="00091F4A"/>
    <w:rsid w:val="00095E65"/>
    <w:rsid w:val="000A1662"/>
    <w:rsid w:val="000B267A"/>
    <w:rsid w:val="000C0CCE"/>
    <w:rsid w:val="000C1688"/>
    <w:rsid w:val="000C3DAE"/>
    <w:rsid w:val="000D32B5"/>
    <w:rsid w:val="000D4244"/>
    <w:rsid w:val="000E2C75"/>
    <w:rsid w:val="0010388A"/>
    <w:rsid w:val="001077FE"/>
    <w:rsid w:val="00114DB1"/>
    <w:rsid w:val="00130C4D"/>
    <w:rsid w:val="001334AC"/>
    <w:rsid w:val="00134E25"/>
    <w:rsid w:val="00136F02"/>
    <w:rsid w:val="00141F9D"/>
    <w:rsid w:val="00150415"/>
    <w:rsid w:val="001621D0"/>
    <w:rsid w:val="00164762"/>
    <w:rsid w:val="00164F9D"/>
    <w:rsid w:val="0017046E"/>
    <w:rsid w:val="001730D1"/>
    <w:rsid w:val="00173B30"/>
    <w:rsid w:val="00185C98"/>
    <w:rsid w:val="00186481"/>
    <w:rsid w:val="00191A55"/>
    <w:rsid w:val="001923B5"/>
    <w:rsid w:val="001A02B0"/>
    <w:rsid w:val="001B58D4"/>
    <w:rsid w:val="001C1BED"/>
    <w:rsid w:val="001C6368"/>
    <w:rsid w:val="001C7D0A"/>
    <w:rsid w:val="001D12A3"/>
    <w:rsid w:val="001D1860"/>
    <w:rsid w:val="001D5CE3"/>
    <w:rsid w:val="001D68B7"/>
    <w:rsid w:val="001D7686"/>
    <w:rsid w:val="001E4E19"/>
    <w:rsid w:val="001E5569"/>
    <w:rsid w:val="001F479A"/>
    <w:rsid w:val="00200F3E"/>
    <w:rsid w:val="00203003"/>
    <w:rsid w:val="002264A8"/>
    <w:rsid w:val="002325F5"/>
    <w:rsid w:val="002365F9"/>
    <w:rsid w:val="00241B0D"/>
    <w:rsid w:val="002424BF"/>
    <w:rsid w:val="00244ED4"/>
    <w:rsid w:val="00253872"/>
    <w:rsid w:val="00263175"/>
    <w:rsid w:val="00266C10"/>
    <w:rsid w:val="00290096"/>
    <w:rsid w:val="00293482"/>
    <w:rsid w:val="002A75B9"/>
    <w:rsid w:val="002B1722"/>
    <w:rsid w:val="002C52AB"/>
    <w:rsid w:val="002C6B56"/>
    <w:rsid w:val="002E41A0"/>
    <w:rsid w:val="002E4348"/>
    <w:rsid w:val="002E63B8"/>
    <w:rsid w:val="002F2356"/>
    <w:rsid w:val="002F697C"/>
    <w:rsid w:val="002F7551"/>
    <w:rsid w:val="0030501C"/>
    <w:rsid w:val="00322423"/>
    <w:rsid w:val="003268D4"/>
    <w:rsid w:val="00327983"/>
    <w:rsid w:val="003303C6"/>
    <w:rsid w:val="00345C70"/>
    <w:rsid w:val="003503EB"/>
    <w:rsid w:val="00350E43"/>
    <w:rsid w:val="00351258"/>
    <w:rsid w:val="00351AAF"/>
    <w:rsid w:val="00352732"/>
    <w:rsid w:val="00363397"/>
    <w:rsid w:val="00365513"/>
    <w:rsid w:val="00376087"/>
    <w:rsid w:val="00384B14"/>
    <w:rsid w:val="003904B8"/>
    <w:rsid w:val="0039225D"/>
    <w:rsid w:val="003965F0"/>
    <w:rsid w:val="00396D73"/>
    <w:rsid w:val="003A0F18"/>
    <w:rsid w:val="003B73D2"/>
    <w:rsid w:val="003C25C8"/>
    <w:rsid w:val="003D0D78"/>
    <w:rsid w:val="003D43F7"/>
    <w:rsid w:val="003E23CB"/>
    <w:rsid w:val="003F0D73"/>
    <w:rsid w:val="003F3034"/>
    <w:rsid w:val="004063F6"/>
    <w:rsid w:val="0041470B"/>
    <w:rsid w:val="00426B84"/>
    <w:rsid w:val="00432225"/>
    <w:rsid w:val="00435E13"/>
    <w:rsid w:val="004455D2"/>
    <w:rsid w:val="00446A82"/>
    <w:rsid w:val="004535A5"/>
    <w:rsid w:val="0045399A"/>
    <w:rsid w:val="00465766"/>
    <w:rsid w:val="00466643"/>
    <w:rsid w:val="00466674"/>
    <w:rsid w:val="004763B9"/>
    <w:rsid w:val="004825DC"/>
    <w:rsid w:val="0049419F"/>
    <w:rsid w:val="0049673E"/>
    <w:rsid w:val="00497A46"/>
    <w:rsid w:val="004B4F05"/>
    <w:rsid w:val="004B63E7"/>
    <w:rsid w:val="004C0A97"/>
    <w:rsid w:val="004C30B7"/>
    <w:rsid w:val="004D254F"/>
    <w:rsid w:val="004E64A7"/>
    <w:rsid w:val="004E76F8"/>
    <w:rsid w:val="004F245B"/>
    <w:rsid w:val="004F5690"/>
    <w:rsid w:val="00504384"/>
    <w:rsid w:val="00517E35"/>
    <w:rsid w:val="00523EA3"/>
    <w:rsid w:val="0053056A"/>
    <w:rsid w:val="00530899"/>
    <w:rsid w:val="00534464"/>
    <w:rsid w:val="00545D73"/>
    <w:rsid w:val="00546343"/>
    <w:rsid w:val="00555C0F"/>
    <w:rsid w:val="00567714"/>
    <w:rsid w:val="005677F6"/>
    <w:rsid w:val="005679AB"/>
    <w:rsid w:val="00567C5E"/>
    <w:rsid w:val="005758AF"/>
    <w:rsid w:val="005807A3"/>
    <w:rsid w:val="005827C9"/>
    <w:rsid w:val="005915B0"/>
    <w:rsid w:val="00594255"/>
    <w:rsid w:val="00595155"/>
    <w:rsid w:val="005A3EC0"/>
    <w:rsid w:val="005B3287"/>
    <w:rsid w:val="005C2C62"/>
    <w:rsid w:val="005C4608"/>
    <w:rsid w:val="005D0119"/>
    <w:rsid w:val="005E0D88"/>
    <w:rsid w:val="005E2F84"/>
    <w:rsid w:val="005E509E"/>
    <w:rsid w:val="005F17F0"/>
    <w:rsid w:val="005F5C48"/>
    <w:rsid w:val="005F646D"/>
    <w:rsid w:val="005F699B"/>
    <w:rsid w:val="00603775"/>
    <w:rsid w:val="006038AD"/>
    <w:rsid w:val="00605B5F"/>
    <w:rsid w:val="00624E9C"/>
    <w:rsid w:val="00626E35"/>
    <w:rsid w:val="0063119A"/>
    <w:rsid w:val="006312BE"/>
    <w:rsid w:val="006414D2"/>
    <w:rsid w:val="00645A72"/>
    <w:rsid w:val="006549CF"/>
    <w:rsid w:val="006556C8"/>
    <w:rsid w:val="00656386"/>
    <w:rsid w:val="006601BD"/>
    <w:rsid w:val="00670838"/>
    <w:rsid w:val="00671813"/>
    <w:rsid w:val="006748AC"/>
    <w:rsid w:val="006749E0"/>
    <w:rsid w:val="00675403"/>
    <w:rsid w:val="00675E6E"/>
    <w:rsid w:val="006803DE"/>
    <w:rsid w:val="00681BB0"/>
    <w:rsid w:val="00686ED5"/>
    <w:rsid w:val="006936A4"/>
    <w:rsid w:val="006B0A52"/>
    <w:rsid w:val="006B2E50"/>
    <w:rsid w:val="006C019F"/>
    <w:rsid w:val="006C4DDB"/>
    <w:rsid w:val="006C650A"/>
    <w:rsid w:val="006D2A5E"/>
    <w:rsid w:val="006D61CB"/>
    <w:rsid w:val="006D7417"/>
    <w:rsid w:val="006E12C3"/>
    <w:rsid w:val="006E60B1"/>
    <w:rsid w:val="006F2DC7"/>
    <w:rsid w:val="006F4404"/>
    <w:rsid w:val="006F5A01"/>
    <w:rsid w:val="007073BB"/>
    <w:rsid w:val="00710AEB"/>
    <w:rsid w:val="00714918"/>
    <w:rsid w:val="00717039"/>
    <w:rsid w:val="0072389A"/>
    <w:rsid w:val="00736AAE"/>
    <w:rsid w:val="00752320"/>
    <w:rsid w:val="00761BB2"/>
    <w:rsid w:val="00765102"/>
    <w:rsid w:val="00767B7C"/>
    <w:rsid w:val="007740FC"/>
    <w:rsid w:val="00782198"/>
    <w:rsid w:val="0078497D"/>
    <w:rsid w:val="00790593"/>
    <w:rsid w:val="00792869"/>
    <w:rsid w:val="00792989"/>
    <w:rsid w:val="007976CF"/>
    <w:rsid w:val="00797E17"/>
    <w:rsid w:val="007A19DD"/>
    <w:rsid w:val="007A471B"/>
    <w:rsid w:val="007A795F"/>
    <w:rsid w:val="007C0637"/>
    <w:rsid w:val="007C72D1"/>
    <w:rsid w:val="007D2D48"/>
    <w:rsid w:val="007E44F0"/>
    <w:rsid w:val="007F3874"/>
    <w:rsid w:val="007F6DE6"/>
    <w:rsid w:val="0081165A"/>
    <w:rsid w:val="00817F87"/>
    <w:rsid w:val="00821BDC"/>
    <w:rsid w:val="0082219D"/>
    <w:rsid w:val="00822512"/>
    <w:rsid w:val="008338BF"/>
    <w:rsid w:val="008360C1"/>
    <w:rsid w:val="0084550F"/>
    <w:rsid w:val="008467D0"/>
    <w:rsid w:val="00851B33"/>
    <w:rsid w:val="00856EDE"/>
    <w:rsid w:val="0086610F"/>
    <w:rsid w:val="00867A85"/>
    <w:rsid w:val="00870812"/>
    <w:rsid w:val="00873F3D"/>
    <w:rsid w:val="00875A9A"/>
    <w:rsid w:val="00875DC4"/>
    <w:rsid w:val="00875E75"/>
    <w:rsid w:val="008762B5"/>
    <w:rsid w:val="00883D01"/>
    <w:rsid w:val="00895FE7"/>
    <w:rsid w:val="008A110F"/>
    <w:rsid w:val="008A4C52"/>
    <w:rsid w:val="008A55FD"/>
    <w:rsid w:val="008C0F49"/>
    <w:rsid w:val="008C449C"/>
    <w:rsid w:val="008D07FF"/>
    <w:rsid w:val="008D1739"/>
    <w:rsid w:val="008D1E3A"/>
    <w:rsid w:val="008F719A"/>
    <w:rsid w:val="008F74F5"/>
    <w:rsid w:val="009001B3"/>
    <w:rsid w:val="00901179"/>
    <w:rsid w:val="00903AFF"/>
    <w:rsid w:val="00904776"/>
    <w:rsid w:val="00915922"/>
    <w:rsid w:val="00915A66"/>
    <w:rsid w:val="00915D23"/>
    <w:rsid w:val="00920E69"/>
    <w:rsid w:val="00933E81"/>
    <w:rsid w:val="00935BF0"/>
    <w:rsid w:val="009472B2"/>
    <w:rsid w:val="00965787"/>
    <w:rsid w:val="00965945"/>
    <w:rsid w:val="00967E0B"/>
    <w:rsid w:val="00982CCF"/>
    <w:rsid w:val="0098347A"/>
    <w:rsid w:val="00985167"/>
    <w:rsid w:val="0099053C"/>
    <w:rsid w:val="0099491B"/>
    <w:rsid w:val="009A1AE7"/>
    <w:rsid w:val="009A5C61"/>
    <w:rsid w:val="009B0228"/>
    <w:rsid w:val="009B2844"/>
    <w:rsid w:val="009B36D0"/>
    <w:rsid w:val="009B568A"/>
    <w:rsid w:val="009B6525"/>
    <w:rsid w:val="009B702F"/>
    <w:rsid w:val="009C44DB"/>
    <w:rsid w:val="009C47A3"/>
    <w:rsid w:val="009C7E9B"/>
    <w:rsid w:val="009D25C5"/>
    <w:rsid w:val="009D678E"/>
    <w:rsid w:val="009F1A75"/>
    <w:rsid w:val="00A02BF1"/>
    <w:rsid w:val="00A077B0"/>
    <w:rsid w:val="00A07A1F"/>
    <w:rsid w:val="00A132B2"/>
    <w:rsid w:val="00A349B7"/>
    <w:rsid w:val="00A3621B"/>
    <w:rsid w:val="00A3712E"/>
    <w:rsid w:val="00A409AB"/>
    <w:rsid w:val="00A44D7F"/>
    <w:rsid w:val="00A44FDD"/>
    <w:rsid w:val="00A46E4A"/>
    <w:rsid w:val="00A50FFC"/>
    <w:rsid w:val="00A56126"/>
    <w:rsid w:val="00A71FDD"/>
    <w:rsid w:val="00A804CE"/>
    <w:rsid w:val="00A82309"/>
    <w:rsid w:val="00A83D68"/>
    <w:rsid w:val="00A96AFE"/>
    <w:rsid w:val="00AA2436"/>
    <w:rsid w:val="00AA3FDE"/>
    <w:rsid w:val="00AB3731"/>
    <w:rsid w:val="00AB5544"/>
    <w:rsid w:val="00AB5A36"/>
    <w:rsid w:val="00AD26DA"/>
    <w:rsid w:val="00AE7907"/>
    <w:rsid w:val="00B015B5"/>
    <w:rsid w:val="00B05075"/>
    <w:rsid w:val="00B058BD"/>
    <w:rsid w:val="00B07366"/>
    <w:rsid w:val="00B1433A"/>
    <w:rsid w:val="00B207D9"/>
    <w:rsid w:val="00B251D9"/>
    <w:rsid w:val="00B36406"/>
    <w:rsid w:val="00B410BC"/>
    <w:rsid w:val="00B470D7"/>
    <w:rsid w:val="00B545A0"/>
    <w:rsid w:val="00B571DD"/>
    <w:rsid w:val="00B60C8B"/>
    <w:rsid w:val="00B66B3D"/>
    <w:rsid w:val="00B66F9E"/>
    <w:rsid w:val="00B67020"/>
    <w:rsid w:val="00B7060F"/>
    <w:rsid w:val="00B72AD9"/>
    <w:rsid w:val="00B867D9"/>
    <w:rsid w:val="00B87D23"/>
    <w:rsid w:val="00B909E5"/>
    <w:rsid w:val="00B92C9B"/>
    <w:rsid w:val="00B957B5"/>
    <w:rsid w:val="00BA2B7B"/>
    <w:rsid w:val="00BA6B78"/>
    <w:rsid w:val="00BB3080"/>
    <w:rsid w:val="00BB5F46"/>
    <w:rsid w:val="00BC06C9"/>
    <w:rsid w:val="00BC1427"/>
    <w:rsid w:val="00BC194F"/>
    <w:rsid w:val="00BC1D50"/>
    <w:rsid w:val="00BC34E1"/>
    <w:rsid w:val="00BC3A5B"/>
    <w:rsid w:val="00BC46D3"/>
    <w:rsid w:val="00BC6D9E"/>
    <w:rsid w:val="00BD1110"/>
    <w:rsid w:val="00BF6090"/>
    <w:rsid w:val="00BF6556"/>
    <w:rsid w:val="00C013AC"/>
    <w:rsid w:val="00C042EB"/>
    <w:rsid w:val="00C13B9F"/>
    <w:rsid w:val="00C16769"/>
    <w:rsid w:val="00C21D13"/>
    <w:rsid w:val="00C223FB"/>
    <w:rsid w:val="00C3702E"/>
    <w:rsid w:val="00C4553B"/>
    <w:rsid w:val="00C55C0D"/>
    <w:rsid w:val="00C60839"/>
    <w:rsid w:val="00C64C5B"/>
    <w:rsid w:val="00C7283E"/>
    <w:rsid w:val="00C76336"/>
    <w:rsid w:val="00C76494"/>
    <w:rsid w:val="00C85E23"/>
    <w:rsid w:val="00C8681C"/>
    <w:rsid w:val="00C90E32"/>
    <w:rsid w:val="00CA3D82"/>
    <w:rsid w:val="00CA6AF6"/>
    <w:rsid w:val="00CB086D"/>
    <w:rsid w:val="00CB2983"/>
    <w:rsid w:val="00CC147B"/>
    <w:rsid w:val="00CD5039"/>
    <w:rsid w:val="00CE02A6"/>
    <w:rsid w:val="00CE05BA"/>
    <w:rsid w:val="00CE078C"/>
    <w:rsid w:val="00CE0DA7"/>
    <w:rsid w:val="00CE4DB1"/>
    <w:rsid w:val="00D019ED"/>
    <w:rsid w:val="00D04219"/>
    <w:rsid w:val="00D10078"/>
    <w:rsid w:val="00D16B7D"/>
    <w:rsid w:val="00D213E8"/>
    <w:rsid w:val="00D27F7E"/>
    <w:rsid w:val="00D32839"/>
    <w:rsid w:val="00D40816"/>
    <w:rsid w:val="00D43D32"/>
    <w:rsid w:val="00D441C1"/>
    <w:rsid w:val="00D63BE6"/>
    <w:rsid w:val="00D64DAD"/>
    <w:rsid w:val="00D72B44"/>
    <w:rsid w:val="00D76331"/>
    <w:rsid w:val="00D76DBC"/>
    <w:rsid w:val="00D81DFA"/>
    <w:rsid w:val="00D86C83"/>
    <w:rsid w:val="00D87D32"/>
    <w:rsid w:val="00DA3510"/>
    <w:rsid w:val="00DA43BC"/>
    <w:rsid w:val="00DA785E"/>
    <w:rsid w:val="00DB1CF1"/>
    <w:rsid w:val="00DB5DE2"/>
    <w:rsid w:val="00DC3DC5"/>
    <w:rsid w:val="00DD1526"/>
    <w:rsid w:val="00DD7667"/>
    <w:rsid w:val="00DE2447"/>
    <w:rsid w:val="00DE4073"/>
    <w:rsid w:val="00DE6797"/>
    <w:rsid w:val="00DF21EF"/>
    <w:rsid w:val="00DF2721"/>
    <w:rsid w:val="00DF728B"/>
    <w:rsid w:val="00E04C39"/>
    <w:rsid w:val="00E11AC4"/>
    <w:rsid w:val="00E1270E"/>
    <w:rsid w:val="00E14B26"/>
    <w:rsid w:val="00E21AD8"/>
    <w:rsid w:val="00E23945"/>
    <w:rsid w:val="00E34B85"/>
    <w:rsid w:val="00E414E0"/>
    <w:rsid w:val="00E441B2"/>
    <w:rsid w:val="00E44C9D"/>
    <w:rsid w:val="00E46468"/>
    <w:rsid w:val="00E465B0"/>
    <w:rsid w:val="00E54F3A"/>
    <w:rsid w:val="00E6057F"/>
    <w:rsid w:val="00E62BFE"/>
    <w:rsid w:val="00E74C0B"/>
    <w:rsid w:val="00E8043C"/>
    <w:rsid w:val="00E81C1E"/>
    <w:rsid w:val="00E930BC"/>
    <w:rsid w:val="00EB392E"/>
    <w:rsid w:val="00EC183E"/>
    <w:rsid w:val="00EC28D0"/>
    <w:rsid w:val="00EC5BE8"/>
    <w:rsid w:val="00EC6B3A"/>
    <w:rsid w:val="00ED2E52"/>
    <w:rsid w:val="00ED7F51"/>
    <w:rsid w:val="00EE2B9E"/>
    <w:rsid w:val="00EF57C5"/>
    <w:rsid w:val="00EF665E"/>
    <w:rsid w:val="00F02AC5"/>
    <w:rsid w:val="00F03A39"/>
    <w:rsid w:val="00F13B94"/>
    <w:rsid w:val="00F331F2"/>
    <w:rsid w:val="00F43A53"/>
    <w:rsid w:val="00F45993"/>
    <w:rsid w:val="00F51BF0"/>
    <w:rsid w:val="00F536C2"/>
    <w:rsid w:val="00F646FB"/>
    <w:rsid w:val="00F70C93"/>
    <w:rsid w:val="00F762FB"/>
    <w:rsid w:val="00F835FB"/>
    <w:rsid w:val="00F86F8E"/>
    <w:rsid w:val="00F90AEA"/>
    <w:rsid w:val="00F9320D"/>
    <w:rsid w:val="00F970BE"/>
    <w:rsid w:val="00FA49E3"/>
    <w:rsid w:val="00FA7665"/>
    <w:rsid w:val="00FD2BC5"/>
    <w:rsid w:val="00FD581D"/>
    <w:rsid w:val="00FE15AD"/>
    <w:rsid w:val="00FE26F3"/>
    <w:rsid w:val="00FE5E47"/>
    <w:rsid w:val="00FF4A0B"/>
    <w:rsid w:val="7E6A96F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21"/>
    <w:semiHidden/>
    <w:unhideWhenUsed/>
    <w:qFormat/>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9"/>
    <w:semiHidden/>
    <w:unhideWhenUsed/>
    <w:qFormat/>
    <w:uiPriority w:val="99"/>
    <w:pPr>
      <w:spacing w:line="240" w:lineRule="auto"/>
    </w:pPr>
    <w:rPr>
      <w:sz w:val="20"/>
      <w:szCs w:val="20"/>
    </w:rPr>
  </w:style>
  <w:style w:type="paragraph" w:styleId="7">
    <w:name w:val="annotation subject"/>
    <w:basedOn w:val="6"/>
    <w:next w:val="6"/>
    <w:link w:val="20"/>
    <w:semiHidden/>
    <w:unhideWhenUsed/>
    <w:qFormat/>
    <w:uiPriority w:val="99"/>
    <w:rPr>
      <w:b/>
      <w:bCs/>
    </w:rPr>
  </w:style>
  <w:style w:type="character" w:styleId="8">
    <w:name w:val="Emphasis"/>
    <w:basedOn w:val="2"/>
    <w:qFormat/>
    <w:uiPriority w:val="20"/>
    <w:rPr>
      <w:i/>
      <w:iCs/>
    </w:rPr>
  </w:style>
  <w:style w:type="paragraph" w:styleId="9">
    <w:name w:val="footer"/>
    <w:basedOn w:val="1"/>
    <w:link w:val="15"/>
    <w:unhideWhenUsed/>
    <w:qFormat/>
    <w:uiPriority w:val="99"/>
    <w:pPr>
      <w:tabs>
        <w:tab w:val="center" w:pos="4680"/>
        <w:tab w:val="right" w:pos="9360"/>
      </w:tabs>
      <w:spacing w:after="0" w:line="240" w:lineRule="auto"/>
    </w:pPr>
  </w:style>
  <w:style w:type="paragraph" w:styleId="10">
    <w:name w:val="header"/>
    <w:basedOn w:val="1"/>
    <w:link w:val="14"/>
    <w:unhideWhenUsed/>
    <w:qFormat/>
    <w:uiPriority w:val="99"/>
    <w:pPr>
      <w:tabs>
        <w:tab w:val="center" w:pos="4680"/>
        <w:tab w:val="right" w:pos="9360"/>
      </w:tabs>
      <w:spacing w:after="0" w:line="240" w:lineRule="auto"/>
    </w:pPr>
  </w:style>
  <w:style w:type="character" w:styleId="11">
    <w:name w:val="Hyperlink"/>
    <w:basedOn w:val="2"/>
    <w:unhideWhenUsed/>
    <w:qFormat/>
    <w:uiPriority w:val="0"/>
    <w:rPr>
      <w:color w:val="0000FF"/>
      <w:u w:val="single"/>
    </w:rPr>
  </w:style>
  <w:style w:type="table" w:styleId="12">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720"/>
      <w:contextualSpacing/>
    </w:pPr>
  </w:style>
  <w:style w:type="character" w:customStyle="1" w:styleId="14">
    <w:name w:val="Header Char"/>
    <w:basedOn w:val="2"/>
    <w:link w:val="10"/>
    <w:qFormat/>
    <w:uiPriority w:val="99"/>
  </w:style>
  <w:style w:type="character" w:customStyle="1" w:styleId="15">
    <w:name w:val="Footer Char"/>
    <w:basedOn w:val="2"/>
    <w:link w:val="9"/>
    <w:qFormat/>
    <w:uiPriority w:val="99"/>
  </w:style>
  <w:style w:type="paragraph" w:styleId="16">
    <w:name w:val="No Spacing"/>
    <w:link w:val="17"/>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7">
    <w:name w:val="No Spacing Char"/>
    <w:link w:val="16"/>
    <w:qFormat/>
    <w:locked/>
    <w:uiPriority w:val="1"/>
  </w:style>
  <w:style w:type="paragraph" w:customStyle="1" w:styleId="18">
    <w:name w:val="Normal1"/>
    <w:qFormat/>
    <w:uiPriority w:val="0"/>
    <w:pPr>
      <w:widowControl w:val="0"/>
      <w:spacing w:after="0" w:line="240" w:lineRule="auto"/>
    </w:pPr>
    <w:rPr>
      <w:rFonts w:ascii="Times New Roman" w:hAnsi="Times New Roman" w:eastAsia="Times New Roman" w:cs="Times New Roman"/>
      <w:color w:val="000000"/>
      <w:sz w:val="20"/>
      <w:szCs w:val="20"/>
      <w:lang w:val="en-US" w:eastAsia="en-US" w:bidi="ar-SA"/>
    </w:rPr>
  </w:style>
  <w:style w:type="character" w:customStyle="1" w:styleId="19">
    <w:name w:val="Comment Text Char"/>
    <w:basedOn w:val="2"/>
    <w:link w:val="6"/>
    <w:semiHidden/>
    <w:qFormat/>
    <w:uiPriority w:val="99"/>
    <w:rPr>
      <w:sz w:val="20"/>
      <w:szCs w:val="20"/>
    </w:rPr>
  </w:style>
  <w:style w:type="character" w:customStyle="1" w:styleId="20">
    <w:name w:val="Comment Subject Char"/>
    <w:basedOn w:val="19"/>
    <w:link w:val="7"/>
    <w:semiHidden/>
    <w:qFormat/>
    <w:uiPriority w:val="99"/>
    <w:rPr>
      <w:b/>
      <w:bCs/>
      <w:sz w:val="20"/>
      <w:szCs w:val="20"/>
    </w:rPr>
  </w:style>
  <w:style w:type="character" w:customStyle="1" w:styleId="21">
    <w:name w:val="Balloon Text Char"/>
    <w:basedOn w:val="2"/>
    <w:link w:val="4"/>
    <w:semiHidden/>
    <w:qFormat/>
    <w:uiPriority w:val="99"/>
    <w:rPr>
      <w:rFonts w:ascii="Segoe UI" w:hAnsi="Segoe UI" w:cs="Segoe UI"/>
      <w:sz w:val="18"/>
      <w:szCs w:val="18"/>
    </w:rPr>
  </w:style>
  <w:style w:type="character" w:customStyle="1" w:styleId="22">
    <w:name w:val="Intense Reference"/>
    <w:basedOn w:val="2"/>
    <w:qFormat/>
    <w:uiPriority w:val="32"/>
    <w:rPr>
      <w:b/>
      <w:bCs/>
      <w:smallCaps/>
      <w:color w:val="5B9BD5" w:themeColor="accent1"/>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3</Pages>
  <Words>1534</Words>
  <Characters>8744</Characters>
  <Lines>72</Lines>
  <Paragraphs>20</Paragraphs>
  <TotalTime>8300</TotalTime>
  <ScaleCrop>false</ScaleCrop>
  <LinksUpToDate>false</LinksUpToDate>
  <CharactersWithSpaces>10258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2020-04-23T12:25:00Z</dcterms:created>
  <dc:creator>Radhika Sharma</dc:creator>
  <cp:lastModifiedBy>sutharsan51</cp:lastModifiedBy>
  <cp:lastPrinted>2018-05-31T08:17:00Z</cp:lastPrinted>
  <dcterms:modified xsi:type="dcterms:W3CDTF">2026-07-16T13:35:08Z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