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980" w:type="dxa"/>
        <w:jc w:val="left"/>
        <w:tblInd w:w="-612" w:type="dxa"/>
        <w:tblCellMar>
          <w:top w:w="0" w:type="dxa"/>
          <w:left w:w="108" w:type="dxa"/>
          <w:bottom w:w="0" w:type="dxa"/>
          <w:right w:w="108" w:type="dxa"/>
        </w:tblCellMar>
        <w:tblLook w:val="04a0"/>
      </w:tblPr>
      <w:tblGrid>
        <w:gridCol w:w="4859"/>
        <w:gridCol w:w="6120"/>
      </w:tblGrid>
      <w:tr>
        <w:trPr>
          <w:trHeight w:val="1170" w:hRule="atLeast"/>
        </w:trPr>
        <w:tc>
          <w:tcPr>
            <w:tcW w:w="4859" w:type="dxa"/>
            <w:tcBorders/>
          </w:tcPr>
          <w:p>
            <w:pPr>
              <w:pStyle w:val="NoSpacing"/>
              <w:rPr>
                <w:rFonts w:cs="Calibri"/>
                <w:b/>
                <w:b/>
                <w:sz w:val="28"/>
                <w:szCs w:val="28"/>
              </w:rPr>
            </w:pPr>
            <w:r>
              <w:rPr>
                <w:rFonts w:cs="Calibri"/>
                <w:b/>
                <w:sz w:val="28"/>
                <w:szCs w:val="28"/>
              </w:rPr>
              <w:t>Komal Kumari, Bangalore-</w:t>
            </w:r>
            <w:r>
              <w:rPr>
                <w:rFonts w:cs="Arial" w:ascii="Arial" w:hAnsi="Arial"/>
                <w:b/>
                <w:bCs/>
                <w:color w:val="202124"/>
                <w:sz w:val="21"/>
                <w:szCs w:val="21"/>
                <w:shd w:fill="FFFFFF" w:val="clear"/>
              </w:rPr>
              <w:t>562125</w:t>
            </w:r>
          </w:p>
          <w:p>
            <w:pPr>
              <w:pStyle w:val="Normal"/>
              <w:rPr>
                <w:rFonts w:ascii="Calibri" w:hAnsi="Calibri" w:cs="Calibri"/>
                <w:sz w:val="20"/>
                <w:szCs w:val="20"/>
              </w:rPr>
            </w:pPr>
            <w:r>
              <w:rPr>
                <w:rFonts w:cs="Calibri" w:ascii="Calibri" w:hAnsi="Calibri"/>
                <w:sz w:val="20"/>
                <w:szCs w:val="20"/>
              </w:rPr>
              <w:t>Phone:</w:t>
            </w:r>
            <w:r>
              <w:rPr>
                <w:rFonts w:cs="Calibri" w:ascii="Calibri" w:hAnsi="Calibri"/>
                <w:b/>
                <w:i/>
                <w:color w:val="548DD4"/>
                <w:sz w:val="20"/>
                <w:szCs w:val="20"/>
              </w:rPr>
              <w:t>+91-9916756534</w:t>
            </w:r>
          </w:p>
          <w:p>
            <w:pPr>
              <w:pStyle w:val="Normal"/>
              <w:rPr/>
            </w:pPr>
            <w:r>
              <w:rPr>
                <w:rFonts w:cs="Calibri" w:ascii="Calibri" w:hAnsi="Calibri"/>
                <w:sz w:val="20"/>
                <w:szCs w:val="20"/>
              </w:rPr>
              <w:t>Email:</w:t>
            </w:r>
            <w:hyperlink r:id="rId2">
              <w:r>
                <w:rPr>
                  <w:b/>
                  <w:bCs/>
                  <w:color w:val="0070C0"/>
                  <w:sz w:val="22"/>
                  <w:szCs w:val="22"/>
                  <w:u w:val="single"/>
                </w:rPr>
                <w:t>komalkrishna14@gmail.com</w:t>
              </w:r>
            </w:hyperlink>
          </w:p>
        </w:tc>
        <w:tc>
          <w:tcPr>
            <w:tcW w:w="6120" w:type="dxa"/>
            <w:tcBorders/>
          </w:tcPr>
          <w:p>
            <w:pPr>
              <w:pStyle w:val="NoSpacing"/>
              <w:jc w:val="right"/>
              <w:rPr>
                <w:rFonts w:cs="Calibri"/>
                <w:b/>
                <w:b/>
                <w:sz w:val="28"/>
                <w:szCs w:val="28"/>
              </w:rPr>
            </w:pPr>
            <w:r>
              <w:rPr>
                <w:rFonts w:cs="Calibri"/>
                <w:b/>
                <w:sz w:val="28"/>
                <w:szCs w:val="28"/>
              </w:rPr>
            </w:r>
          </w:p>
        </w:tc>
      </w:tr>
    </w:tbl>
    <w:p>
      <w:pPr>
        <w:pStyle w:val="Normal"/>
        <w:rPr>
          <w:vanish/>
        </w:rPr>
      </w:pPr>
      <w:r>
        <w:rPr>
          <w:vanish/>
        </w:rPr>
      </w:r>
    </w:p>
    <w:tbl>
      <w:tblPr>
        <w:tblW w:w="10980" w:type="dxa"/>
        <w:jc w:val="left"/>
        <w:tblInd w:w="-612" w:type="dxa"/>
        <w:tblCellMar>
          <w:top w:w="0" w:type="dxa"/>
          <w:left w:w="108" w:type="dxa"/>
          <w:bottom w:w="0" w:type="dxa"/>
          <w:right w:w="108" w:type="dxa"/>
        </w:tblCellMar>
        <w:tblLook w:val="0000"/>
      </w:tblPr>
      <w:tblGrid>
        <w:gridCol w:w="10980"/>
      </w:tblGrid>
      <w:tr>
        <w:trPr>
          <w:trHeight w:val="240" w:hRule="atLeast"/>
        </w:trPr>
        <w:tc>
          <w:tcPr>
            <w:tcW w:w="10980" w:type="dxa"/>
            <w:tcBorders/>
            <w:shd w:color="auto" w:fill="95B3D7" w:val="clear"/>
          </w:tcPr>
          <w:p>
            <w:pPr>
              <w:pStyle w:val="Normal"/>
              <w:keepNext w:val="true"/>
              <w:keepLines/>
              <w:rPr>
                <w:rFonts w:ascii="Calibri" w:hAnsi="Calibri" w:cs="Calibri"/>
                <w:b/>
                <w:b/>
                <w:bCs/>
                <w:color w:val="FFFFFF"/>
                <w:sz w:val="22"/>
                <w:szCs w:val="22"/>
              </w:rPr>
            </w:pPr>
            <w:r>
              <w:rPr>
                <w:rFonts w:cs="Calibri" w:ascii="Calibri" w:hAnsi="Calibri"/>
                <w:b/>
                <w:bCs/>
                <w:color w:val="FFFFFF"/>
                <w:sz w:val="22"/>
                <w:szCs w:val="22"/>
              </w:rPr>
              <w:t>Experience Summary</w:t>
            </w:r>
          </w:p>
        </w:tc>
      </w:tr>
      <w:tr>
        <w:trPr>
          <w:trHeight w:val="923" w:hRule="atLeast"/>
        </w:trPr>
        <w:tc>
          <w:tcPr>
            <w:tcW w:w="10980" w:type="dxa"/>
            <w:tcBorders/>
          </w:tcPr>
          <w:p>
            <w:pPr>
              <w:pStyle w:val="ListParagraph"/>
              <w:widowControl/>
              <w:spacing w:lineRule="auto" w:line="259" w:before="0" w:after="160"/>
              <w:contextualSpacing/>
              <w:rPr>
                <w:rFonts w:ascii="Calibri" w:hAnsi="Calibri" w:cs="Calibri"/>
                <w:bCs/>
                <w:color w:val="0070C0"/>
                <w:sz w:val="20"/>
                <w:szCs w:val="20"/>
              </w:rPr>
            </w:pPr>
            <w:r>
              <w:rPr>
                <w:rFonts w:cs="Calibri" w:ascii="Calibri" w:hAnsi="Calibri"/>
                <w:bCs/>
                <w:color w:val="0070C0"/>
                <w:sz w:val="20"/>
                <w:szCs w:val="20"/>
              </w:rPr>
            </w:r>
          </w:p>
          <w:p>
            <w:pPr>
              <w:pStyle w:val="ListParagraph"/>
              <w:widowControl/>
              <w:numPr>
                <w:ilvl w:val="0"/>
                <w:numId w:val="1"/>
              </w:numPr>
              <w:spacing w:lineRule="auto" w:line="259" w:before="0" w:after="160"/>
              <w:contextualSpacing/>
              <w:rPr>
                <w:rFonts w:ascii="Times New Roman" w:hAnsi="Times New Roman" w:cs="Times New Roman"/>
                <w:b/>
                <w:b/>
                <w:bCs/>
                <w:sz w:val="20"/>
                <w:szCs w:val="20"/>
              </w:rPr>
            </w:pPr>
            <w:r>
              <w:rPr>
                <w:rFonts w:cs="Times New Roman" w:ascii="Times New Roman" w:hAnsi="Times New Roman"/>
                <w:b/>
                <w:bCs/>
                <w:sz w:val="20"/>
                <w:szCs w:val="20"/>
              </w:rPr>
              <w:t>I have 9+ years of experience in HR Operations, HRIS, Shared Services, Workforce Management, Payroll Administration, and Global Employee Data Management. Experienced in supporting enterprise HR systems including Workday, SAP HCM, and Infor MyHR across APAC, EMEA, and Americas.</w:t>
            </w:r>
          </w:p>
          <w:p>
            <w:pPr>
              <w:pStyle w:val="ListParagraph"/>
              <w:widowControl/>
              <w:numPr>
                <w:ilvl w:val="0"/>
                <w:numId w:val="1"/>
              </w:numPr>
              <w:spacing w:lineRule="auto" w:line="259" w:before="0" w:after="160"/>
              <w:contextualSpacing/>
              <w:rPr>
                <w:rFonts w:ascii="Times New Roman" w:hAnsi="Times New Roman" w:cs="Times New Roman"/>
                <w:sz w:val="20"/>
                <w:szCs w:val="20"/>
              </w:rPr>
            </w:pPr>
            <w:r>
              <w:rPr>
                <w:rFonts w:cs="Times New Roman" w:ascii="Times New Roman" w:hAnsi="Times New Roman"/>
                <w:sz w:val="20"/>
                <w:szCs w:val="20"/>
              </w:rPr>
              <w:t>In depth experience on ServiceNow ticketing tool.</w:t>
            </w:r>
          </w:p>
          <w:p>
            <w:pPr>
              <w:pStyle w:val="ListParagraph"/>
              <w:widowControl/>
              <w:numPr>
                <w:ilvl w:val="0"/>
                <w:numId w:val="1"/>
              </w:numPr>
              <w:spacing w:lineRule="auto" w:line="259" w:before="0" w:after="160"/>
              <w:contextualSpacing/>
              <w:rPr>
                <w:rFonts w:ascii="Times New Roman" w:hAnsi="Times New Roman" w:cs="Times New Roman"/>
                <w:sz w:val="20"/>
                <w:szCs w:val="20"/>
              </w:rPr>
            </w:pPr>
            <w:r>
              <w:rPr>
                <w:rFonts w:cs="Times New Roman" w:ascii="Times New Roman" w:hAnsi="Times New Roman"/>
                <w:sz w:val="20"/>
                <w:szCs w:val="20"/>
              </w:rPr>
              <w:t>Strong experience partnering with HR stakeholders to improve HR processes, support HR system enhancements, perform UAT/testing, maintain HR data integrity, create reports, and deliver operational excellence. Skilled in stakeholder management, process documentation, knowledge management, and leading cross-functional initiatives in global environments.</w:t>
            </w:r>
          </w:p>
          <w:p>
            <w:pPr>
              <w:pStyle w:val="ListParagraph"/>
              <w:widowControl/>
              <w:numPr>
                <w:ilvl w:val="0"/>
                <w:numId w:val="1"/>
              </w:numPr>
              <w:spacing w:lineRule="auto" w:line="259" w:before="0" w:after="160"/>
              <w:contextualSpacing/>
              <w:rPr>
                <w:rFonts w:ascii="Times New Roman" w:hAnsi="Times New Roman" w:cs="Times New Roman"/>
                <w:sz w:val="20"/>
                <w:szCs w:val="20"/>
              </w:rPr>
            </w:pPr>
            <w:r>
              <w:rPr>
                <w:rFonts w:cs="Times New Roman" w:ascii="Times New Roman" w:hAnsi="Times New Roman"/>
                <w:sz w:val="20"/>
                <w:szCs w:val="20"/>
              </w:rPr>
              <w:t>Providing training, to different process to the enable the team members internally and globally</w:t>
            </w:r>
          </w:p>
          <w:p>
            <w:pPr>
              <w:pStyle w:val="ListParagraph"/>
              <w:widowControl/>
              <w:numPr>
                <w:ilvl w:val="0"/>
                <w:numId w:val="1"/>
              </w:numPr>
              <w:spacing w:lineRule="auto" w:line="259" w:before="0" w:after="160"/>
              <w:contextualSpacing/>
              <w:rPr>
                <w:rFonts w:ascii="Times New Roman" w:hAnsi="Times New Roman" w:cs="Times New Roman"/>
                <w:sz w:val="20"/>
                <w:szCs w:val="20"/>
              </w:rPr>
            </w:pPr>
            <w:r>
              <w:rPr>
                <w:rFonts w:cs="Times New Roman" w:ascii="Times New Roman" w:hAnsi="Times New Roman"/>
                <w:sz w:val="20"/>
                <w:szCs w:val="20"/>
              </w:rPr>
              <w:t>Experience in discussion with internal/external stakeholders and team managing capability</w:t>
            </w:r>
          </w:p>
          <w:p>
            <w:pPr>
              <w:pStyle w:val="ListParagraph"/>
              <w:widowControl/>
              <w:numPr>
                <w:ilvl w:val="0"/>
                <w:numId w:val="1"/>
              </w:numPr>
              <w:spacing w:lineRule="auto" w:line="259" w:before="0" w:after="160"/>
              <w:contextualSpacing/>
              <w:rPr>
                <w:rFonts w:ascii="Times New Roman" w:hAnsi="Times New Roman" w:cs="Times New Roman"/>
                <w:sz w:val="20"/>
                <w:szCs w:val="20"/>
              </w:rPr>
            </w:pPr>
            <w:r>
              <w:rPr>
                <w:rFonts w:cs="Times New Roman" w:ascii="Times New Roman" w:hAnsi="Times New Roman"/>
                <w:sz w:val="20"/>
                <w:szCs w:val="20"/>
              </w:rPr>
              <w:t xml:space="preserve">Responsible for Work Allocation, Queue Management </w:t>
            </w:r>
          </w:p>
          <w:p>
            <w:pPr>
              <w:pStyle w:val="ListParagraph"/>
              <w:widowControl/>
              <w:numPr>
                <w:ilvl w:val="0"/>
                <w:numId w:val="1"/>
              </w:numPr>
              <w:spacing w:lineRule="auto" w:line="259" w:before="0" w:after="160"/>
              <w:contextualSpacing/>
              <w:rPr>
                <w:rFonts w:ascii="Calibri" w:hAnsi="Calibri" w:cs="Calibri"/>
                <w:bCs/>
                <w:color w:val="000000" w:themeColor="text1"/>
                <w:sz w:val="20"/>
                <w:szCs w:val="20"/>
              </w:rPr>
            </w:pPr>
            <w:r>
              <w:rPr>
                <w:rFonts w:cs="Times New Roman" w:ascii="Times New Roman" w:hAnsi="Times New Roman"/>
                <w:sz w:val="20"/>
                <w:szCs w:val="20"/>
              </w:rPr>
              <w:t>Good Communication Skills, an excellent team player with problem-solving and trouble-shooting capabilities</w:t>
            </w:r>
          </w:p>
        </w:tc>
      </w:tr>
    </w:tbl>
    <w:p>
      <w:pPr>
        <w:pStyle w:val="ListParagraph"/>
        <w:ind w:left="0" w:hanging="0"/>
        <w:jc w:val="both"/>
        <w:rPr>
          <w:rFonts w:ascii="Calibri" w:hAnsi="Calibri" w:cs="Calibri"/>
          <w:b/>
          <w:b/>
          <w:sz w:val="22"/>
          <w:szCs w:val="22"/>
        </w:rPr>
      </w:pPr>
      <w:r>
        <w:rPr>
          <w:rFonts w:cs="Calibri" w:ascii="Calibri" w:hAnsi="Calibri"/>
          <w:b/>
          <w:sz w:val="22"/>
          <w:szCs w:val="22"/>
        </w:rPr>
      </w:r>
    </w:p>
    <w:tbl>
      <w:tblPr>
        <w:tblW w:w="10980" w:type="dxa"/>
        <w:jc w:val="left"/>
        <w:tblInd w:w="-612" w:type="dxa"/>
        <w:tblCellMar>
          <w:top w:w="0" w:type="dxa"/>
          <w:left w:w="108" w:type="dxa"/>
          <w:bottom w:w="0" w:type="dxa"/>
          <w:right w:w="108" w:type="dxa"/>
        </w:tblCellMar>
        <w:tblLook w:val="04a0"/>
      </w:tblPr>
      <w:tblGrid>
        <w:gridCol w:w="2790"/>
        <w:gridCol w:w="215"/>
        <w:gridCol w:w="775"/>
        <w:gridCol w:w="1529"/>
        <w:gridCol w:w="210"/>
        <w:gridCol w:w="2731"/>
        <w:gridCol w:w="300"/>
        <w:gridCol w:w="2429"/>
      </w:tblGrid>
      <w:tr>
        <w:trPr>
          <w:trHeight w:val="226" w:hRule="atLeast"/>
        </w:trPr>
        <w:tc>
          <w:tcPr>
            <w:tcW w:w="3005" w:type="dxa"/>
            <w:gridSpan w:val="2"/>
            <w:tcBorders>
              <w:bottom w:val="single" w:sz="4" w:space="0" w:color="000000"/>
            </w:tcBorders>
            <w:shd w:color="auto" w:fill="95B3D7" w:val="clear"/>
            <w:vAlign w:val="center"/>
          </w:tcPr>
          <w:p>
            <w:pPr>
              <w:pStyle w:val="Normal"/>
              <w:rPr>
                <w:rFonts w:ascii="Calibri" w:hAnsi="Calibri" w:cs="Calibri"/>
                <w:b/>
                <w:b/>
                <w:color w:val="FFFFFF"/>
              </w:rPr>
            </w:pPr>
            <w:r>
              <w:rPr>
                <w:rFonts w:cs="Calibri" w:ascii="Calibri" w:hAnsi="Calibri"/>
                <w:b/>
                <w:color w:val="FFFFFF"/>
                <w:sz w:val="22"/>
                <w:szCs w:val="22"/>
              </w:rPr>
              <w:t>Work Organization Summary</w:t>
            </w:r>
          </w:p>
        </w:tc>
        <w:tc>
          <w:tcPr>
            <w:tcW w:w="7974" w:type="dxa"/>
            <w:gridSpan w:val="6"/>
            <w:tcBorders>
              <w:bottom w:val="single" w:sz="4" w:space="0" w:color="000000"/>
            </w:tcBorders>
            <w:shd w:color="auto" w:fill="95B3D7" w:val="clear"/>
            <w:vAlign w:val="center"/>
          </w:tcPr>
          <w:p>
            <w:pPr>
              <w:pStyle w:val="Normal"/>
              <w:jc w:val="right"/>
              <w:rPr>
                <w:rFonts w:ascii="Calibri" w:hAnsi="Calibri" w:cs="Calibri"/>
                <w:b/>
                <w:b/>
                <w:color w:val="FFFFFF"/>
                <w:sz w:val="20"/>
                <w:szCs w:val="20"/>
              </w:rPr>
            </w:pPr>
            <w:r>
              <w:rPr>
                <w:rFonts w:cs="Calibri" w:ascii="Calibri" w:hAnsi="Calibri"/>
                <w:b/>
                <w:color w:val="FFFFFF"/>
                <w:sz w:val="20"/>
                <w:szCs w:val="20"/>
              </w:rPr>
              <w:t>Total Experience – 9.10Years</w:t>
            </w:r>
          </w:p>
        </w:tc>
      </w:tr>
      <w:tr>
        <w:trPr>
          <w:trHeight w:val="226" w:hRule="atLeast"/>
        </w:trPr>
        <w:tc>
          <w:tcPr>
            <w:tcW w:w="3780" w:type="dxa"/>
            <w:gridSpan w:val="3"/>
            <w:tcBorders>
              <w:top w:val="single" w:sz="4" w:space="0" w:color="000000"/>
              <w:left w:val="single" w:sz="4" w:space="0" w:color="000000"/>
              <w:bottom w:val="single" w:sz="4" w:space="0" w:color="000000"/>
              <w:right w:val="single" w:sz="4" w:space="0" w:color="000000"/>
            </w:tcBorders>
            <w:shd w:color="auto" w:fill="DBE5F1" w:val="clear"/>
            <w:vAlign w:val="center"/>
          </w:tcPr>
          <w:p>
            <w:pPr>
              <w:pStyle w:val="Normal"/>
              <w:rPr>
                <w:rFonts w:ascii="Calibri" w:hAnsi="Calibri" w:cs="Calibri"/>
                <w:b/>
                <w:b/>
                <w:sz w:val="20"/>
                <w:szCs w:val="20"/>
              </w:rPr>
            </w:pPr>
            <w:r>
              <w:rPr>
                <w:rFonts w:cs="Calibri" w:ascii="Calibri" w:hAnsi="Calibri"/>
                <w:b/>
                <w:sz w:val="20"/>
                <w:szCs w:val="20"/>
              </w:rPr>
              <w:t>Organization</w:t>
            </w:r>
          </w:p>
        </w:tc>
        <w:tc>
          <w:tcPr>
            <w:tcW w:w="1529" w:type="dxa"/>
            <w:tcBorders>
              <w:top w:val="single" w:sz="4" w:space="0" w:color="000000"/>
              <w:left w:val="single" w:sz="4" w:space="0" w:color="000000"/>
              <w:bottom w:val="single" w:sz="4" w:space="0" w:color="000000"/>
              <w:right w:val="single" w:sz="4" w:space="0" w:color="000000"/>
            </w:tcBorders>
            <w:shd w:color="auto" w:fill="DBE5F1" w:val="clear"/>
          </w:tcPr>
          <w:p>
            <w:pPr>
              <w:pStyle w:val="Normal"/>
              <w:jc w:val="center"/>
              <w:rPr>
                <w:rFonts w:ascii="Calibri" w:hAnsi="Calibri" w:cs="Calibri"/>
                <w:b/>
                <w:b/>
                <w:sz w:val="20"/>
                <w:szCs w:val="20"/>
              </w:rPr>
            </w:pPr>
            <w:r>
              <w:rPr>
                <w:rFonts w:cs="Calibri" w:ascii="Calibri" w:hAnsi="Calibri"/>
                <w:b/>
                <w:sz w:val="20"/>
                <w:szCs w:val="20"/>
              </w:rPr>
              <w:t>Location</w:t>
            </w:r>
          </w:p>
        </w:tc>
        <w:tc>
          <w:tcPr>
            <w:tcW w:w="3241" w:type="dxa"/>
            <w:gridSpan w:val="3"/>
            <w:tcBorders>
              <w:top w:val="single" w:sz="4" w:space="0" w:color="000000"/>
              <w:left w:val="single" w:sz="4" w:space="0" w:color="000000"/>
              <w:bottom w:val="single" w:sz="4" w:space="0" w:color="000000"/>
              <w:right w:val="single" w:sz="4" w:space="0" w:color="000000"/>
            </w:tcBorders>
            <w:shd w:color="auto" w:fill="DBE5F1" w:val="clear"/>
            <w:vAlign w:val="center"/>
          </w:tcPr>
          <w:p>
            <w:pPr>
              <w:pStyle w:val="Normal"/>
              <w:jc w:val="center"/>
              <w:rPr>
                <w:rFonts w:ascii="Calibri" w:hAnsi="Calibri" w:cs="Calibri"/>
                <w:b/>
                <w:b/>
                <w:sz w:val="20"/>
                <w:szCs w:val="20"/>
              </w:rPr>
            </w:pPr>
            <w:r>
              <w:rPr>
                <w:rFonts w:cs="Calibri" w:ascii="Calibri" w:hAnsi="Calibri"/>
                <w:b/>
                <w:sz w:val="20"/>
                <w:szCs w:val="20"/>
              </w:rPr>
              <w:t>Designation</w:t>
            </w:r>
          </w:p>
        </w:tc>
        <w:tc>
          <w:tcPr>
            <w:tcW w:w="2429" w:type="dxa"/>
            <w:tcBorders>
              <w:top w:val="single" w:sz="4" w:space="0" w:color="000000"/>
              <w:left w:val="single" w:sz="4" w:space="0" w:color="000000"/>
              <w:bottom w:val="single" w:sz="4" w:space="0" w:color="000000"/>
              <w:right w:val="single" w:sz="4" w:space="0" w:color="000000"/>
            </w:tcBorders>
            <w:shd w:color="auto" w:fill="DBE5F1" w:val="clear"/>
            <w:vAlign w:val="center"/>
          </w:tcPr>
          <w:p>
            <w:pPr>
              <w:pStyle w:val="Normal"/>
              <w:jc w:val="center"/>
              <w:rPr>
                <w:rFonts w:ascii="Calibri" w:hAnsi="Calibri" w:cs="Calibri"/>
                <w:b/>
                <w:b/>
                <w:sz w:val="20"/>
                <w:szCs w:val="20"/>
              </w:rPr>
            </w:pPr>
            <w:r>
              <w:rPr>
                <w:rFonts w:cs="Calibri" w:ascii="Calibri" w:hAnsi="Calibri"/>
                <w:b/>
                <w:sz w:val="20"/>
                <w:szCs w:val="20"/>
              </w:rPr>
              <w:t>Time Period</w:t>
            </w:r>
          </w:p>
        </w:tc>
      </w:tr>
      <w:tr>
        <w:trPr>
          <w:trHeight w:val="305" w:hRule="atLeast"/>
        </w:trPr>
        <w:tc>
          <w:tcPr>
            <w:tcW w:w="3780"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b/>
                <w:b/>
                <w:sz w:val="20"/>
                <w:szCs w:val="20"/>
              </w:rPr>
            </w:pPr>
            <w:r>
              <w:rPr>
                <w:rFonts w:cs="Calibri" w:ascii="Calibri" w:hAnsi="Calibri"/>
                <w:b/>
                <w:sz w:val="20"/>
                <w:szCs w:val="20"/>
              </w:rPr>
              <w:t>KOCH</w:t>
            </w:r>
          </w:p>
        </w:tc>
        <w:tc>
          <w:tcPr>
            <w:tcW w:w="1529"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sz w:val="20"/>
                <w:szCs w:val="20"/>
              </w:rPr>
            </w:pPr>
            <w:r>
              <w:rPr>
                <w:rFonts w:cs="Calibri" w:ascii="Calibri" w:hAnsi="Calibri"/>
                <w:sz w:val="20"/>
                <w:szCs w:val="20"/>
              </w:rPr>
              <w:t>BANGALORE</w:t>
            </w:r>
          </w:p>
        </w:tc>
        <w:tc>
          <w:tcPr>
            <w:tcW w:w="3241"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bCs/>
                <w:sz w:val="20"/>
                <w:szCs w:val="20"/>
              </w:rPr>
            </w:pPr>
            <w:r>
              <w:rPr>
                <w:rFonts w:cs="Calibri" w:ascii="Calibri" w:hAnsi="Calibri"/>
                <w:sz w:val="20"/>
                <w:szCs w:val="20"/>
              </w:rPr>
              <w:t>HR operation specialist</w:t>
            </w:r>
          </w:p>
        </w:tc>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b/>
                <w:b/>
                <w:bCs/>
                <w:sz w:val="20"/>
                <w:szCs w:val="20"/>
              </w:rPr>
            </w:pPr>
            <w:r>
              <w:rPr>
                <w:rFonts w:cs="Calibri" w:ascii="Calibri" w:hAnsi="Calibri"/>
                <w:b/>
                <w:bCs/>
                <w:sz w:val="20"/>
                <w:szCs w:val="20"/>
              </w:rPr>
              <w:t>May 2019- June 2026</w:t>
            </w:r>
          </w:p>
        </w:tc>
      </w:tr>
      <w:tr>
        <w:trPr>
          <w:trHeight w:val="305" w:hRule="atLeast"/>
        </w:trPr>
        <w:tc>
          <w:tcPr>
            <w:tcW w:w="3780"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b/>
                <w:b/>
                <w:sz w:val="20"/>
                <w:szCs w:val="20"/>
              </w:rPr>
            </w:pPr>
            <w:r>
              <w:rPr>
                <w:rFonts w:cs="Calibri" w:ascii="Calibri" w:hAnsi="Calibri"/>
                <w:b/>
                <w:sz w:val="20"/>
                <w:szCs w:val="20"/>
              </w:rPr>
              <w:t>Cisco India Pvt Ltd</w:t>
            </w:r>
          </w:p>
        </w:tc>
        <w:tc>
          <w:tcPr>
            <w:tcW w:w="1529"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sz w:val="20"/>
                <w:szCs w:val="20"/>
              </w:rPr>
            </w:pPr>
            <w:r>
              <w:rPr>
                <w:rFonts w:cs="Calibri" w:ascii="Calibri" w:hAnsi="Calibri"/>
                <w:sz w:val="20"/>
                <w:szCs w:val="20"/>
              </w:rPr>
              <w:t>BANGALORE</w:t>
            </w:r>
          </w:p>
        </w:tc>
        <w:tc>
          <w:tcPr>
            <w:tcW w:w="3241"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0"/>
                <w:szCs w:val="20"/>
              </w:rPr>
            </w:pPr>
            <w:r>
              <w:rPr>
                <w:rFonts w:cs="Calibri" w:ascii="Calibri" w:hAnsi="Calibri"/>
                <w:sz w:val="20"/>
                <w:szCs w:val="20"/>
              </w:rPr>
              <w:t>Consultant Client Relationship</w:t>
            </w:r>
          </w:p>
        </w:tc>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0"/>
                <w:szCs w:val="20"/>
              </w:rPr>
            </w:pPr>
            <w:r>
              <w:rPr>
                <w:rFonts w:cs="Calibri" w:ascii="Calibri" w:hAnsi="Calibri"/>
                <w:sz w:val="20"/>
                <w:szCs w:val="20"/>
              </w:rPr>
              <w:t>Sep 2018- May 2019</w:t>
            </w:r>
          </w:p>
        </w:tc>
      </w:tr>
      <w:tr>
        <w:trPr>
          <w:trHeight w:val="305" w:hRule="atLeast"/>
        </w:trPr>
        <w:tc>
          <w:tcPr>
            <w:tcW w:w="3780"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b/>
                <w:b/>
                <w:sz w:val="20"/>
                <w:szCs w:val="20"/>
              </w:rPr>
            </w:pPr>
            <w:r>
              <w:rPr>
                <w:rFonts w:cs="Times New Roman" w:ascii="Times New Roman" w:hAnsi="Times New Roman"/>
                <w:b/>
                <w:sz w:val="20"/>
                <w:szCs w:val="20"/>
              </w:rPr>
              <w:t>Accenture India Pvt Ltd</w:t>
            </w:r>
          </w:p>
        </w:tc>
        <w:tc>
          <w:tcPr>
            <w:tcW w:w="1529"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sz w:val="20"/>
                <w:szCs w:val="20"/>
              </w:rPr>
            </w:pPr>
            <w:r>
              <w:rPr>
                <w:rFonts w:cs="Calibri" w:ascii="Calibri" w:hAnsi="Calibri"/>
                <w:sz w:val="20"/>
                <w:szCs w:val="20"/>
              </w:rPr>
              <w:t>BANGALORE</w:t>
            </w:r>
          </w:p>
        </w:tc>
        <w:tc>
          <w:tcPr>
            <w:tcW w:w="3241"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0"/>
                <w:szCs w:val="20"/>
              </w:rPr>
            </w:pPr>
            <w:r>
              <w:rPr>
                <w:rFonts w:cs="Calibri" w:ascii="Calibri" w:hAnsi="Calibri"/>
                <w:sz w:val="20"/>
                <w:szCs w:val="20"/>
              </w:rPr>
              <w:t>Procurement Analyst</w:t>
            </w:r>
          </w:p>
        </w:tc>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0"/>
                <w:szCs w:val="20"/>
              </w:rPr>
            </w:pPr>
            <w:r>
              <w:rPr>
                <w:rFonts w:cs="Calibri" w:ascii="Calibri" w:hAnsi="Calibri"/>
                <w:sz w:val="20"/>
                <w:szCs w:val="20"/>
              </w:rPr>
              <w:t>Dec 2017 - Sep 2018</w:t>
            </w:r>
          </w:p>
        </w:tc>
      </w:tr>
      <w:tr>
        <w:trPr>
          <w:trHeight w:val="305" w:hRule="atLeast"/>
        </w:trPr>
        <w:tc>
          <w:tcPr>
            <w:tcW w:w="3780"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cs="Calibri"/>
                <w:b/>
                <w:b/>
                <w:sz w:val="20"/>
                <w:szCs w:val="20"/>
              </w:rPr>
            </w:pPr>
            <w:r>
              <w:rPr>
                <w:rFonts w:cs="Times New Roman" w:ascii="Times New Roman" w:hAnsi="Times New Roman"/>
                <w:b/>
                <w:sz w:val="20"/>
                <w:szCs w:val="20"/>
              </w:rPr>
              <w:t>Volantis Technologies</w:t>
            </w:r>
          </w:p>
        </w:tc>
        <w:tc>
          <w:tcPr>
            <w:tcW w:w="1529"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sz w:val="20"/>
                <w:szCs w:val="20"/>
              </w:rPr>
            </w:pPr>
            <w:r>
              <w:rPr>
                <w:rFonts w:cs="Calibri" w:ascii="Calibri" w:hAnsi="Calibri"/>
                <w:sz w:val="20"/>
                <w:szCs w:val="20"/>
              </w:rPr>
              <w:t>BANGALORE</w:t>
            </w:r>
          </w:p>
        </w:tc>
        <w:tc>
          <w:tcPr>
            <w:tcW w:w="3241"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0"/>
                <w:szCs w:val="20"/>
              </w:rPr>
            </w:pPr>
            <w:r>
              <w:rPr>
                <w:rFonts w:cs="Calibri" w:ascii="Calibri" w:hAnsi="Calibri"/>
                <w:sz w:val="20"/>
                <w:szCs w:val="20"/>
              </w:rPr>
              <w:t>HR Executive</w:t>
            </w:r>
          </w:p>
        </w:tc>
        <w:tc>
          <w:tcPr>
            <w:tcW w:w="242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Calibri"/>
                <w:sz w:val="20"/>
                <w:szCs w:val="20"/>
              </w:rPr>
            </w:pPr>
            <w:r>
              <w:rPr>
                <w:rFonts w:cs="Calibri" w:ascii="Calibri" w:hAnsi="Calibri"/>
                <w:sz w:val="20"/>
                <w:szCs w:val="20"/>
              </w:rPr>
              <w:t>Aug 2016 – Sep 2017</w:t>
            </w:r>
          </w:p>
        </w:tc>
      </w:tr>
      <w:tr>
        <w:trPr>
          <w:trHeight w:val="269" w:hRule="atLeast"/>
        </w:trPr>
        <w:tc>
          <w:tcPr>
            <w:tcW w:w="10979" w:type="dxa"/>
            <w:gridSpan w:val="8"/>
            <w:tcBorders>
              <w:bottom w:val="single" w:sz="4" w:space="0" w:color="000000"/>
            </w:tcBorders>
            <w:shd w:color="auto" w:fill="FFFFFF" w:val="clear"/>
          </w:tcPr>
          <w:p>
            <w:pPr>
              <w:pStyle w:val="Normal"/>
              <w:rPr>
                <w:rFonts w:ascii="Calibri" w:hAnsi="Calibri" w:cs="Calibri"/>
                <w:b/>
                <w:b/>
                <w:color w:val="FFFFFF"/>
              </w:rPr>
            </w:pPr>
            <w:r>
              <w:rPr>
                <w:rFonts w:cs="Calibri" w:ascii="Calibri" w:hAnsi="Calibri"/>
                <w:b/>
                <w:color w:val="FFFFFF"/>
              </w:rPr>
            </w:r>
          </w:p>
        </w:tc>
      </w:tr>
      <w:tr>
        <w:trPr>
          <w:trHeight w:val="269" w:hRule="atLeast"/>
        </w:trPr>
        <w:tc>
          <w:tcPr>
            <w:tcW w:w="10979" w:type="dxa"/>
            <w:gridSpan w:val="8"/>
            <w:tcBorders>
              <w:bottom w:val="single" w:sz="4" w:space="0" w:color="000000"/>
            </w:tcBorders>
            <w:shd w:color="auto" w:fill="95B3D7" w:val="clear"/>
          </w:tcPr>
          <w:p>
            <w:pPr>
              <w:pStyle w:val="Normal"/>
              <w:rPr>
                <w:rFonts w:ascii="Calibri" w:hAnsi="Calibri" w:cs="Calibri"/>
                <w:b/>
                <w:b/>
                <w:color w:val="FFFFFF"/>
              </w:rPr>
            </w:pPr>
            <w:r>
              <w:rPr>
                <w:rFonts w:cs="Calibri" w:ascii="Calibri" w:hAnsi="Calibri"/>
                <w:b/>
                <w:color w:val="FFFFFF"/>
                <w:sz w:val="22"/>
                <w:szCs w:val="22"/>
              </w:rPr>
              <w:t>Skill Set</w:t>
            </w:r>
          </w:p>
        </w:tc>
      </w:tr>
      <w:tr>
        <w:trPr>
          <w:trHeight w:val="503" w:hRule="atLeast"/>
        </w:trPr>
        <w:tc>
          <w:tcPr>
            <w:tcW w:w="27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0"/>
                <w:szCs w:val="20"/>
              </w:rPr>
            </w:pPr>
            <w:r>
              <w:rPr>
                <w:rFonts w:cs="Calibri" w:ascii="Calibri" w:hAnsi="Calibri"/>
                <w:b/>
                <w:sz w:val="20"/>
                <w:szCs w:val="20"/>
              </w:rPr>
              <w:t>Skills</w:t>
            </w:r>
          </w:p>
        </w:tc>
        <w:tc>
          <w:tcPr>
            <w:tcW w:w="8189" w:type="dxa"/>
            <w:gridSpan w:val="7"/>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HR Operations, Payroll Management, Vendor Management, Client Relationship, Employee Data Management, Global Shared services, WFM, time tracking, case management, workday Reporting,</w:t>
            </w:r>
            <w:r>
              <w:rPr/>
              <w:t xml:space="preserve"> </w:t>
            </w:r>
            <w:r>
              <w:rPr>
                <w:rFonts w:cs="Calibri" w:ascii="Calibri" w:hAnsi="Calibri"/>
                <w:sz w:val="20"/>
                <w:szCs w:val="20"/>
              </w:rPr>
              <w:t>Workday HCM, UAT &amp; System Testing</w:t>
            </w:r>
          </w:p>
        </w:tc>
      </w:tr>
      <w:tr>
        <w:trPr>
          <w:trHeight w:val="251" w:hRule="atLeast"/>
        </w:trPr>
        <w:tc>
          <w:tcPr>
            <w:tcW w:w="27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0"/>
                <w:szCs w:val="20"/>
              </w:rPr>
            </w:pPr>
            <w:r>
              <w:rPr>
                <w:rFonts w:cs="Calibri" w:ascii="Calibri" w:hAnsi="Calibri"/>
                <w:b/>
                <w:sz w:val="20"/>
                <w:szCs w:val="20"/>
              </w:rPr>
              <w:t>Tools</w:t>
            </w:r>
          </w:p>
        </w:tc>
        <w:tc>
          <w:tcPr>
            <w:tcW w:w="8189" w:type="dxa"/>
            <w:gridSpan w:val="7"/>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MyHR(Infor), SAP HCM, SAP Fieldglass,  ServiceNow, IQN, workday</w:t>
            </w:r>
          </w:p>
        </w:tc>
      </w:tr>
      <w:tr>
        <w:trPr>
          <w:trHeight w:val="269" w:hRule="atLeast"/>
        </w:trPr>
        <w:tc>
          <w:tcPr>
            <w:tcW w:w="27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0"/>
                <w:szCs w:val="20"/>
              </w:rPr>
            </w:pPr>
            <w:r>
              <w:rPr>
                <w:rFonts w:cs="Calibri" w:ascii="Calibri" w:hAnsi="Calibri"/>
                <w:b/>
                <w:sz w:val="20"/>
                <w:szCs w:val="20"/>
              </w:rPr>
              <w:t>Highest Education</w:t>
            </w:r>
          </w:p>
        </w:tc>
        <w:tc>
          <w:tcPr>
            <w:tcW w:w="2729" w:type="dxa"/>
            <w:gridSpan w:val="4"/>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MBA (HR &amp; FIN)</w:t>
            </w:r>
          </w:p>
        </w:tc>
        <w:tc>
          <w:tcPr>
            <w:tcW w:w="273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VTU, Bangalore</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75%</w:t>
            </w:r>
          </w:p>
        </w:tc>
      </w:tr>
      <w:tr>
        <w:trPr>
          <w:trHeight w:val="269" w:hRule="atLeast"/>
        </w:trPr>
        <w:tc>
          <w:tcPr>
            <w:tcW w:w="10979" w:type="dxa"/>
            <w:gridSpan w:val="8"/>
            <w:tcBorders>
              <w:bottom w:val="single" w:sz="4" w:space="0" w:color="000000"/>
            </w:tcBorders>
            <w:shd w:color="auto" w:fill="FFFFFF" w:val="clear"/>
          </w:tcPr>
          <w:p>
            <w:pPr>
              <w:pStyle w:val="Normal"/>
              <w:rPr>
                <w:rFonts w:ascii="Calibri" w:hAnsi="Calibri" w:cs="Calibri"/>
                <w:b/>
                <w:b/>
                <w:color w:val="FFFFFF"/>
              </w:rPr>
            </w:pPr>
            <w:r>
              <w:rPr>
                <w:rFonts w:cs="Calibri" w:ascii="Calibri" w:hAnsi="Calibri"/>
                <w:b/>
                <w:color w:val="FFFFFF"/>
              </w:rPr>
            </w:r>
          </w:p>
        </w:tc>
      </w:tr>
      <w:tr>
        <w:trPr>
          <w:trHeight w:val="269" w:hRule="atLeast"/>
        </w:trPr>
        <w:tc>
          <w:tcPr>
            <w:tcW w:w="10979" w:type="dxa"/>
            <w:gridSpan w:val="8"/>
            <w:tcBorders>
              <w:bottom w:val="single" w:sz="4" w:space="0" w:color="000000"/>
            </w:tcBorders>
            <w:shd w:color="auto" w:fill="95B3D7" w:val="clear"/>
          </w:tcPr>
          <w:p>
            <w:pPr>
              <w:pStyle w:val="Normal"/>
              <w:rPr>
                <w:rFonts w:ascii="Calibri" w:hAnsi="Calibri" w:cs="Calibri"/>
                <w:b/>
                <w:b/>
                <w:color w:val="FFFFFF"/>
                <w:sz w:val="22"/>
                <w:szCs w:val="22"/>
              </w:rPr>
            </w:pPr>
            <w:r>
              <w:rPr>
                <w:rFonts w:cs="Calibri" w:ascii="Calibri" w:hAnsi="Calibri"/>
                <w:b/>
                <w:color w:val="FFFFFF"/>
                <w:sz w:val="22"/>
                <w:szCs w:val="22"/>
              </w:rPr>
              <w:t>ROFESSIONAL EXPERIENCE</w:t>
            </w:r>
          </w:p>
        </w:tc>
      </w:tr>
      <w:tr>
        <w:trPr>
          <w:trHeight w:val="269" w:hRule="atLeast"/>
        </w:trPr>
        <w:tc>
          <w:tcPr>
            <w:tcW w:w="2790" w:type="dxa"/>
            <w:tcBorders>
              <w:top w:val="single" w:sz="4" w:space="0" w:color="000000"/>
              <w:left w:val="single" w:sz="4" w:space="0" w:color="000000"/>
              <w:bottom w:val="single" w:sz="4" w:space="0" w:color="000000"/>
              <w:right w:val="single" w:sz="4" w:space="0" w:color="000000"/>
            </w:tcBorders>
            <w:shd w:color="auto" w:fill="DBE5F1" w:val="clear"/>
          </w:tcPr>
          <w:p>
            <w:pPr>
              <w:pStyle w:val="Normal"/>
              <w:rPr>
                <w:rFonts w:ascii="Times New Roman" w:hAnsi="Times New Roman" w:cs="Times New Roman"/>
                <w:b/>
                <w:b/>
                <w:sz w:val="20"/>
                <w:szCs w:val="20"/>
              </w:rPr>
            </w:pPr>
            <w:r>
              <w:rPr>
                <w:rFonts w:cs="Calibri" w:ascii="Calibri" w:hAnsi="Calibri"/>
                <w:b/>
                <w:sz w:val="20"/>
                <w:szCs w:val="20"/>
              </w:rPr>
              <w:t>Koch, Bangalore</w:t>
            </w:r>
          </w:p>
        </w:tc>
        <w:tc>
          <w:tcPr>
            <w:tcW w:w="8189" w:type="dxa"/>
            <w:gridSpan w:val="7"/>
            <w:tcBorders>
              <w:top w:val="single" w:sz="4" w:space="0" w:color="000000"/>
              <w:left w:val="single" w:sz="4" w:space="0" w:color="000000"/>
              <w:bottom w:val="single" w:sz="4" w:space="0" w:color="000000"/>
              <w:right w:val="single" w:sz="4" w:space="0" w:color="000000"/>
            </w:tcBorders>
            <w:shd w:color="auto" w:fill="DBE5F1" w:val="clear"/>
          </w:tcPr>
          <w:p>
            <w:pPr>
              <w:pStyle w:val="Normal"/>
              <w:rPr>
                <w:rFonts w:ascii="Calibri" w:hAnsi="Calibri" w:cs="Calibri"/>
                <w:b/>
                <w:b/>
                <w:sz w:val="20"/>
                <w:szCs w:val="20"/>
              </w:rPr>
            </w:pPr>
            <w:r>
              <w:rPr>
                <w:rFonts w:cs="Calibri" w:ascii="Calibri" w:hAnsi="Calibri"/>
                <w:b/>
                <w:sz w:val="20"/>
                <w:szCs w:val="20"/>
              </w:rPr>
              <w:t>MyHR/SAP Operations Specialist</w:t>
            </w:r>
            <w:r>
              <w:rPr>
                <w:rFonts w:cs="Times New Roman" w:ascii="Times New Roman" w:hAnsi="Times New Roman"/>
                <w:b/>
                <w:sz w:val="20"/>
                <w:szCs w:val="20"/>
              </w:rPr>
              <w:tab/>
              <w:tab/>
            </w:r>
            <w:r>
              <w:rPr>
                <w:rFonts w:cs="Calibri" w:ascii="Calibri" w:hAnsi="Calibri"/>
                <w:b/>
                <w:sz w:val="20"/>
                <w:szCs w:val="20"/>
              </w:rPr>
              <w:t>May 2019- June 2026</w:t>
            </w:r>
          </w:p>
        </w:tc>
      </w:tr>
      <w:tr>
        <w:trPr>
          <w:trHeight w:val="699" w:hRule="atLeast"/>
        </w:trPr>
        <w:tc>
          <w:tcPr>
            <w:tcW w:w="2790"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p>
            <w:pPr>
              <w:pStyle w:val="Normal"/>
              <w:rPr/>
            </w:pPr>
            <w:r>
              <w:rPr/>
            </w:r>
          </w:p>
          <w:p>
            <w:pPr>
              <w:pStyle w:val="Normal"/>
              <w:rPr>
                <w:rFonts w:ascii="Calibri" w:hAnsi="Calibri" w:cs="Calibri"/>
                <w:b/>
                <w:b/>
                <w:sz w:val="20"/>
                <w:szCs w:val="20"/>
              </w:rPr>
            </w:pPr>
            <w:r>
              <w:rPr>
                <w:rFonts w:cs="Calibri" w:ascii="Calibri" w:hAnsi="Calibri"/>
                <w:b/>
                <w:sz w:val="20"/>
                <w:szCs w:val="20"/>
              </w:rPr>
            </w:r>
          </w:p>
          <w:p>
            <w:pPr>
              <w:pStyle w:val="Normal"/>
              <w:rPr>
                <w:rFonts w:ascii="Calibri" w:hAnsi="Calibri" w:cs="Calibri"/>
                <w:b/>
                <w:b/>
                <w:sz w:val="20"/>
                <w:szCs w:val="20"/>
              </w:rPr>
            </w:pPr>
            <w:r>
              <w:rPr>
                <w:rFonts w:cs="Calibri" w:ascii="Calibri" w:hAnsi="Calibri"/>
                <w:b/>
                <w:sz w:val="20"/>
                <w:szCs w:val="20"/>
              </w:rPr>
            </w:r>
          </w:p>
          <w:p>
            <w:pPr>
              <w:pStyle w:val="Normal"/>
              <w:rPr>
                <w:rFonts w:ascii="Calibri" w:hAnsi="Calibri" w:cs="Calibri"/>
                <w:b/>
                <w:b/>
                <w:sz w:val="20"/>
                <w:szCs w:val="20"/>
              </w:rPr>
            </w:pPr>
            <w:r>
              <w:rPr>
                <w:rFonts w:cs="Calibri" w:ascii="Calibri" w:hAnsi="Calibri"/>
                <w:b/>
                <w:sz w:val="20"/>
                <w:szCs w:val="20"/>
              </w:rPr>
            </w:r>
          </w:p>
          <w:p>
            <w:pPr>
              <w:pStyle w:val="Normal"/>
              <w:rPr>
                <w:rFonts w:ascii="Calibri" w:hAnsi="Calibri" w:cs="Calibri"/>
                <w:b/>
                <w:b/>
                <w:sz w:val="20"/>
                <w:szCs w:val="20"/>
              </w:rPr>
            </w:pPr>
            <w:r>
              <w:rPr>
                <w:rFonts w:cs="Calibri" w:ascii="Calibri" w:hAnsi="Calibri"/>
                <w:b/>
                <w:sz w:val="20"/>
                <w:szCs w:val="20"/>
              </w:rPr>
            </w:r>
          </w:p>
          <w:p>
            <w:pPr>
              <w:pStyle w:val="Normal"/>
              <w:rPr>
                <w:rFonts w:ascii="Calibri" w:hAnsi="Calibri" w:cs="Calibri"/>
                <w:b/>
                <w:b/>
                <w:sz w:val="20"/>
                <w:szCs w:val="20"/>
              </w:rPr>
            </w:pPr>
            <w:r>
              <w:rPr>
                <w:rFonts w:cs="Calibri" w:ascii="Calibri" w:hAnsi="Calibri"/>
                <w:b/>
                <w:sz w:val="20"/>
                <w:szCs w:val="20"/>
              </w:rPr>
            </w:r>
          </w:p>
          <w:p>
            <w:pPr>
              <w:pStyle w:val="Normal"/>
              <w:rPr>
                <w:rFonts w:ascii="Calibri" w:hAnsi="Calibri" w:cs="Calibri"/>
                <w:b/>
                <w:b/>
                <w:sz w:val="20"/>
                <w:szCs w:val="20"/>
              </w:rPr>
            </w:pPr>
            <w:r>
              <w:rPr>
                <w:rFonts w:cs="Calibri" w:ascii="Calibri" w:hAnsi="Calibri"/>
                <w:b/>
                <w:sz w:val="20"/>
                <w:szCs w:val="20"/>
              </w:rPr>
              <w:t>HR Operations Specialist</w:t>
            </w:r>
            <w:r>
              <w:rPr>
                <w:rFonts w:cs="Times New Roman" w:ascii="Times New Roman" w:hAnsi="Times New Roman"/>
                <w:b/>
                <w:sz w:val="20"/>
                <w:szCs w:val="20"/>
              </w:rPr>
              <w:tab/>
              <w:tab/>
            </w:r>
          </w:p>
          <w:p>
            <w:pPr>
              <w:pStyle w:val="Normal"/>
              <w:rPr/>
            </w:pPr>
            <w:r>
              <w:rPr/>
            </w:r>
          </w:p>
          <w:p>
            <w:pPr>
              <w:pStyle w:val="Normal"/>
              <w:rPr/>
            </w:pPr>
            <w:r>
              <w:rPr/>
            </w:r>
          </w:p>
          <w:p>
            <w:pPr>
              <w:pStyle w:val="Normal"/>
              <w:rPr/>
            </w:pPr>
            <w:r>
              <w:rPr/>
            </w:r>
          </w:p>
          <w:p>
            <w:pPr>
              <w:pStyle w:val="Normal"/>
              <w:rPr/>
            </w:pPr>
            <w:r>
              <w:rPr/>
            </w:r>
          </w:p>
          <w:p>
            <w:pPr>
              <w:pStyle w:val="Normal"/>
              <w:rPr>
                <w:rFonts w:ascii="Calibri" w:hAnsi="Calibri" w:cs="Calibri"/>
                <w:b/>
                <w:b/>
                <w:sz w:val="20"/>
                <w:szCs w:val="20"/>
              </w:rPr>
            </w:pPr>
            <w:r>
              <w:rPr>
                <w:rFonts w:cs="Calibri" w:ascii="Calibri" w:hAnsi="Calibri"/>
                <w:b/>
                <w:sz w:val="20"/>
                <w:szCs w:val="20"/>
              </w:rPr>
            </w:r>
          </w:p>
        </w:tc>
        <w:tc>
          <w:tcPr>
            <w:tcW w:w="8189" w:type="dxa"/>
            <w:gridSpan w:val="7"/>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Delivering HR service support across 50+ countries for three regions mainly: </w:t>
            </w:r>
            <w:r>
              <w:rPr>
                <w:rFonts w:cs="Times New Roman" w:ascii="Times New Roman" w:hAnsi="Times New Roman"/>
                <w:b/>
                <w:bCs/>
                <w:color w:val="0070C0"/>
                <w:sz w:val="20"/>
                <w:szCs w:val="20"/>
              </w:rPr>
              <w:t>APAC</w:t>
            </w:r>
            <w:r>
              <w:rPr>
                <w:rFonts w:cs="Times New Roman" w:ascii="Times New Roman" w:hAnsi="Times New Roman"/>
                <w:color w:val="0070C0"/>
                <w:sz w:val="20"/>
                <w:szCs w:val="20"/>
              </w:rPr>
              <w:t xml:space="preserve">. </w:t>
            </w:r>
            <w:r>
              <w:rPr>
                <w:rFonts w:cs="Times New Roman" w:ascii="Times New Roman" w:hAnsi="Times New Roman"/>
                <w:b/>
                <w:bCs/>
                <w:color w:val="0070C0"/>
                <w:sz w:val="20"/>
                <w:szCs w:val="20"/>
              </w:rPr>
              <w:t>EMEA</w:t>
            </w:r>
            <w:r>
              <w:rPr>
                <w:rFonts w:cs="Times New Roman" w:ascii="Times New Roman" w:hAnsi="Times New Roman"/>
                <w:color w:val="0070C0"/>
                <w:sz w:val="20"/>
                <w:szCs w:val="20"/>
              </w:rPr>
              <w:t xml:space="preserve"> and </w:t>
            </w:r>
            <w:r>
              <w:rPr>
                <w:rFonts w:cs="Times New Roman" w:ascii="Times New Roman" w:hAnsi="Times New Roman"/>
                <w:b/>
                <w:bCs/>
                <w:color w:val="0070C0"/>
                <w:sz w:val="20"/>
                <w:szCs w:val="20"/>
              </w:rPr>
              <w:t>AME</w:t>
            </w:r>
            <w:r>
              <w:rPr>
                <w:rFonts w:cs="Times New Roman" w:ascii="Times New Roman" w:hAnsi="Times New Roman"/>
                <w:color w:val="0070C0"/>
                <w:sz w:val="20"/>
                <w:szCs w:val="20"/>
              </w:rPr>
              <w:t>.</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Maintaining Global Data Management for Molex, KOCH Regular or Non-employee’s, Third Party contact workers/labors and Koch subsidiary company employees.</w:t>
            </w:r>
          </w:p>
          <w:p>
            <w:pPr>
              <w:pStyle w:val="ListParagraph"/>
              <w:numPr>
                <w:ilvl w:val="0"/>
                <w:numId w:val="2"/>
              </w:numPr>
              <w:spacing w:before="60" w:after="0"/>
              <w:contextualSpacing/>
              <w:rPr>
                <w:rFonts w:ascii="Times New Roman" w:hAnsi="Times New Roman" w:cs="Times New Roman"/>
                <w:color w:val="0070C0"/>
                <w:sz w:val="20"/>
                <w:szCs w:val="20"/>
                <w:lang w:val="en-IN"/>
              </w:rPr>
            </w:pPr>
            <w:r>
              <w:rPr>
                <w:rFonts w:cs="Times New Roman" w:ascii="Times New Roman" w:hAnsi="Times New Roman"/>
                <w:color w:val="0070C0"/>
                <w:sz w:val="20"/>
                <w:szCs w:val="20"/>
                <w:lang w:val="en-IN"/>
              </w:rPr>
              <w:t xml:space="preserve">Performed end-to-end Talent management, Hire-to-Retire (H2R) </w:t>
            </w:r>
            <w:r>
              <w:rPr>
                <w:rFonts w:cs="Times New Roman" w:ascii="Times New Roman" w:hAnsi="Times New Roman"/>
                <w:color w:val="0070C0"/>
                <w:sz w:val="20"/>
                <w:szCs w:val="20"/>
              </w:rPr>
              <w:t>HR</w:t>
            </w:r>
            <w:r>
              <w:rPr>
                <w:rFonts w:cs="Times New Roman" w:ascii="Times New Roman" w:hAnsi="Times New Roman"/>
                <w:color w:val="0070C0"/>
                <w:sz w:val="20"/>
                <w:szCs w:val="20"/>
                <w:lang w:val="en-IN"/>
              </w:rPr>
              <w:t xml:space="preserve"> operations using Infor MyHR and workday HCM, including employee data management, escalation handling, customer support, RCA, and stakeholder coordination. </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Worked extensively on SAP HCM Organizational Management (OM) and Personnel Administration (PA) processes to support HR operations and employee lifecycle management.</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Efficiently managed  employees' time, attendance, scheduling, labor costs, and compliance.</w:t>
            </w:r>
          </w:p>
          <w:p>
            <w:pPr>
              <w:pStyle w:val="ListParagraph"/>
              <w:numPr>
                <w:ilvl w:val="0"/>
                <w:numId w:val="2"/>
              </w:numPr>
              <w:spacing w:before="60" w:after="0"/>
              <w:contextualSpacing/>
              <w:rPr>
                <w:rFonts w:ascii="Times New Roman" w:hAnsi="Times New Roman" w:cs="Times New Roman"/>
                <w:color w:val="0070C0"/>
                <w:sz w:val="20"/>
                <w:szCs w:val="20"/>
                <w:lang w:val="en-IN"/>
              </w:rPr>
            </w:pPr>
            <w:r>
              <w:rPr>
                <w:rFonts w:cs="Times New Roman" w:ascii="Times New Roman" w:hAnsi="Times New Roman"/>
                <w:color w:val="0070C0"/>
                <w:sz w:val="20"/>
                <w:szCs w:val="20"/>
                <w:lang w:val="en-IN"/>
              </w:rPr>
              <w:t xml:space="preserve">Supported solution planning, </w:t>
            </w:r>
            <w:r>
              <w:rPr>
                <w:rFonts w:cs="Times New Roman" w:ascii="Times New Roman" w:hAnsi="Times New Roman"/>
                <w:color w:val="0070C0"/>
                <w:sz w:val="20"/>
                <w:szCs w:val="20"/>
              </w:rPr>
              <w:t>process</w:t>
            </w:r>
            <w:r>
              <w:rPr>
                <w:rFonts w:cs="Times New Roman" w:ascii="Times New Roman" w:hAnsi="Times New Roman"/>
                <w:color w:val="0070C0"/>
                <w:sz w:val="20"/>
                <w:szCs w:val="20"/>
                <w:lang w:val="en-IN"/>
              </w:rPr>
              <w:t xml:space="preserve"> improvement initiatives, and client-facing documentation for operational and transformation activities. </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Developing SOPs for processes followed by data management team on timely manner. </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lang w:val="en-IN"/>
              </w:rPr>
              <w:t>Perform User Acceptance Testing (UAT) and Quality testing for new hire transactions and country-specific HR process changes</w:t>
            </w:r>
            <w:r>
              <w:rPr/>
              <w:t>.</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Adhere to Knowledge Centered Support (KCS) practices to create and update knowledge articles and Operating Procedures.</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Contributed to RFP responses, proposal preparation, and solution design activities to support business and client requirements.</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Training New joiners on New Technology/Systems and Processes.</w:t>
            </w:r>
          </w:p>
          <w:p>
            <w:pPr>
              <w:pStyle w:val="ListParagraph"/>
              <w:widowControl/>
              <w:numPr>
                <w:ilvl w:val="0"/>
                <w:numId w:val="2"/>
              </w:numPr>
              <w:spacing w:before="60" w:after="0"/>
              <w:rPr>
                <w:rFonts w:ascii="Times New Roman" w:hAnsi="Times New Roman" w:cs="Times New Roman"/>
                <w:color w:val="0070C0"/>
                <w:sz w:val="20"/>
                <w:szCs w:val="20"/>
              </w:rPr>
            </w:pPr>
            <w:r>
              <w:rPr>
                <w:rFonts w:cs="Times New Roman" w:ascii="Times New Roman" w:hAnsi="Times New Roman"/>
                <w:color w:val="0070C0"/>
                <w:sz w:val="20"/>
                <w:szCs w:val="20"/>
              </w:rPr>
              <w:t>Managed work allocation, queue management, and operational prioritization to ensure SLA adherence and efficient service delivery.</w:t>
            </w:r>
          </w:p>
        </w:tc>
      </w:tr>
      <w:tr>
        <w:trPr>
          <w:trHeight w:val="269" w:hRule="atLeast"/>
        </w:trPr>
        <w:tc>
          <w:tcPr>
            <w:tcW w:w="2790" w:type="dxa"/>
            <w:tcBorders>
              <w:top w:val="single" w:sz="4" w:space="0" w:color="000000"/>
              <w:left w:val="single" w:sz="4" w:space="0" w:color="000000"/>
              <w:bottom w:val="single" w:sz="4" w:space="0" w:color="000000"/>
              <w:right w:val="single" w:sz="4" w:space="0" w:color="000000"/>
            </w:tcBorders>
            <w:shd w:color="auto" w:fill="DBE5F1" w:val="clear"/>
          </w:tcPr>
          <w:p>
            <w:pPr>
              <w:pStyle w:val="Normal"/>
              <w:rPr>
                <w:rFonts w:ascii="Calibri" w:hAnsi="Calibri" w:cs="Calibri"/>
                <w:b/>
                <w:b/>
                <w:sz w:val="20"/>
                <w:szCs w:val="20"/>
              </w:rPr>
            </w:pPr>
            <w:r>
              <w:rPr>
                <w:rFonts w:cs="Times New Roman" w:ascii="Times New Roman" w:hAnsi="Times New Roman"/>
                <w:b/>
                <w:sz w:val="20"/>
                <w:szCs w:val="20"/>
              </w:rPr>
              <w:t>Cicso India Pvt Ltd</w:t>
            </w:r>
          </w:p>
        </w:tc>
        <w:tc>
          <w:tcPr>
            <w:tcW w:w="8189" w:type="dxa"/>
            <w:gridSpan w:val="7"/>
            <w:tcBorders>
              <w:top w:val="single" w:sz="4" w:space="0" w:color="000000"/>
              <w:left w:val="single" w:sz="4" w:space="0" w:color="000000"/>
              <w:bottom w:val="single" w:sz="4" w:space="0" w:color="000000"/>
              <w:right w:val="single" w:sz="4" w:space="0" w:color="000000"/>
            </w:tcBorders>
            <w:shd w:color="auto" w:fill="DBE5F1" w:val="clear"/>
          </w:tcPr>
          <w:p>
            <w:pPr>
              <w:pStyle w:val="Normal"/>
              <w:rPr>
                <w:rFonts w:ascii="Calibri" w:hAnsi="Calibri" w:cs="Calibri"/>
                <w:b/>
                <w:b/>
                <w:sz w:val="20"/>
                <w:szCs w:val="20"/>
              </w:rPr>
            </w:pPr>
            <w:r>
              <w:rPr>
                <w:rFonts w:cs="Calibri" w:ascii="Calibri" w:hAnsi="Calibri"/>
                <w:b/>
                <w:sz w:val="20"/>
                <w:szCs w:val="20"/>
              </w:rPr>
              <w:t>Client RelationshipSep 2018- May 2019</w:t>
            </w:r>
          </w:p>
        </w:tc>
      </w:tr>
      <w:tr>
        <w:trPr>
          <w:trHeight w:val="1430" w:hRule="atLeast"/>
        </w:trPr>
        <w:tc>
          <w:tcPr>
            <w:tcW w:w="279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b/>
                <w:b/>
                <w:sz w:val="20"/>
                <w:szCs w:val="20"/>
              </w:rPr>
            </w:pPr>
            <w:r>
              <w:rPr>
                <w:rFonts w:cs="Times New Roman" w:ascii="Times New Roman" w:hAnsi="Times New Roman"/>
                <w:b/>
                <w:sz w:val="20"/>
                <w:szCs w:val="20"/>
              </w:rPr>
              <w:t>Consultant</w:t>
            </w:r>
          </w:p>
        </w:tc>
        <w:tc>
          <w:tcPr>
            <w:tcW w:w="8189"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Involved in creating Contact Employees database using </w:t>
            </w:r>
            <w:r>
              <w:rPr>
                <w:rFonts w:cs="Times New Roman" w:ascii="Times New Roman" w:hAnsi="Times New Roman"/>
                <w:b/>
                <w:bCs/>
                <w:color w:val="0070C0"/>
                <w:sz w:val="20"/>
                <w:szCs w:val="20"/>
              </w:rPr>
              <w:t>SAP Fieldglass</w:t>
            </w:r>
            <w:r>
              <w:rPr>
                <w:rFonts w:cs="Times New Roman" w:ascii="Times New Roman" w:hAnsi="Times New Roman"/>
                <w:color w:val="0070C0"/>
                <w:sz w:val="20"/>
                <w:szCs w:val="20"/>
              </w:rPr>
              <w:t xml:space="preserve">. </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Handling effectively Onsite Interview Support.</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In-depth Involved in Fieldglass Activities from Onboarding, TS, Billing till Exit Process.</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Handling &amp; Resolving Day to Day Resource &amp; Manager Queries.</w:t>
            </w:r>
          </w:p>
          <w:p>
            <w:pPr>
              <w:pStyle w:val="Normal"/>
              <w:widowControl/>
              <w:numPr>
                <w:ilvl w:val="0"/>
                <w:numId w:val="2"/>
              </w:numPr>
              <w:spacing w:lineRule="atLeast" w:line="272" w:before="60" w:afterAutospacing="1"/>
              <w:rPr>
                <w:rFonts w:ascii="Times New Roman" w:hAnsi="Times New Roman" w:cs="Times New Roman"/>
                <w:sz w:val="20"/>
                <w:szCs w:val="20"/>
              </w:rPr>
            </w:pPr>
            <w:r>
              <w:rPr>
                <w:rFonts w:cs="Times New Roman" w:ascii="Times New Roman" w:hAnsi="Times New Roman"/>
                <w:color w:val="0070C0"/>
                <w:sz w:val="20"/>
                <w:szCs w:val="20"/>
              </w:rPr>
              <w:t xml:space="preserve">Intensively working on Invoices, Employee </w:t>
            </w:r>
            <w:r>
              <w:rPr>
                <w:rFonts w:cs="Times New Roman" w:ascii="Times New Roman" w:hAnsi="Times New Roman"/>
                <w:b/>
                <w:bCs/>
                <w:color w:val="0070C0"/>
                <w:sz w:val="20"/>
                <w:szCs w:val="20"/>
              </w:rPr>
              <w:t>Payroll</w:t>
            </w:r>
            <w:r>
              <w:rPr>
                <w:rFonts w:cs="Times New Roman" w:ascii="Times New Roman" w:hAnsi="Times New Roman"/>
                <w:color w:val="0070C0"/>
                <w:sz w:val="20"/>
                <w:szCs w:val="20"/>
              </w:rPr>
              <w:t>&amp;</w:t>
            </w:r>
            <w:r>
              <w:rPr>
                <w:rFonts w:cs="Times New Roman" w:ascii="Times New Roman" w:hAnsi="Times New Roman"/>
                <w:b/>
                <w:bCs/>
                <w:color w:val="0070C0"/>
                <w:sz w:val="20"/>
                <w:szCs w:val="20"/>
              </w:rPr>
              <w:t>VendorManagement</w:t>
            </w:r>
            <w:r>
              <w:rPr>
                <w:rFonts w:cs="Times New Roman" w:ascii="Times New Roman" w:hAnsi="Times New Roman"/>
                <w:color w:val="0070C0"/>
                <w:sz w:val="20"/>
                <w:szCs w:val="20"/>
              </w:rPr>
              <w:t>.</w:t>
            </w:r>
          </w:p>
        </w:tc>
      </w:tr>
      <w:tr>
        <w:trPr>
          <w:trHeight w:val="260" w:hRule="atLeast"/>
        </w:trPr>
        <w:tc>
          <w:tcPr>
            <w:tcW w:w="279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rPr>
                <w:rFonts w:ascii="Calibri" w:hAnsi="Calibri" w:cs="Calibri"/>
                <w:b/>
                <w:b/>
                <w:sz w:val="20"/>
                <w:szCs w:val="20"/>
              </w:rPr>
            </w:pPr>
            <w:r>
              <w:rPr>
                <w:rFonts w:cs="Times New Roman" w:ascii="Times New Roman" w:hAnsi="Times New Roman"/>
                <w:b/>
                <w:sz w:val="20"/>
                <w:szCs w:val="20"/>
              </w:rPr>
              <w:t>Accenture India Pvt Ltd</w:t>
            </w:r>
          </w:p>
        </w:tc>
        <w:tc>
          <w:tcPr>
            <w:tcW w:w="8189" w:type="dxa"/>
            <w:gridSpan w:val="7"/>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widowControl/>
              <w:spacing w:lineRule="atLeast" w:line="272" w:beforeAutospacing="1" w:after="0"/>
              <w:ind w:left="720" w:hanging="360"/>
              <w:rPr>
                <w:rFonts w:ascii="Calibri" w:hAnsi="Calibri" w:cs="Calibri"/>
                <w:b/>
                <w:b/>
                <w:sz w:val="20"/>
                <w:szCs w:val="20"/>
              </w:rPr>
            </w:pPr>
            <w:r>
              <w:rPr>
                <w:rFonts w:cs="Times New Roman" w:ascii="Times New Roman" w:hAnsi="Times New Roman"/>
                <w:b/>
                <w:sz w:val="20"/>
                <w:szCs w:val="20"/>
              </w:rPr>
              <w:t>Procurement Analyst</w:t>
            </w:r>
            <w:r>
              <w:rPr>
                <w:rFonts w:cs="Calibri" w:ascii="Calibri" w:hAnsi="Calibri"/>
                <w:b/>
                <w:sz w:val="20"/>
                <w:szCs w:val="20"/>
              </w:rPr>
              <w:t>Dec 2017 - Sep 2018</w:t>
            </w:r>
          </w:p>
        </w:tc>
      </w:tr>
      <w:tr>
        <w:trPr>
          <w:trHeight w:val="2168" w:hRule="atLeast"/>
        </w:trPr>
        <w:tc>
          <w:tcPr>
            <w:tcW w:w="279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sz w:val="20"/>
                <w:szCs w:val="20"/>
              </w:rPr>
            </w:pPr>
            <w:r>
              <w:rPr>
                <w:rFonts w:cs="Calibri" w:ascii="Calibri" w:hAnsi="Calibri"/>
                <w:sz w:val="20"/>
                <w:szCs w:val="20"/>
              </w:rPr>
            </w:r>
          </w:p>
          <w:p>
            <w:pPr>
              <w:pStyle w:val="Normal"/>
              <w:rPr>
                <w:rFonts w:ascii="Times New Roman" w:hAnsi="Times New Roman" w:cs="Times New Roman"/>
                <w:b/>
                <w:b/>
                <w:sz w:val="20"/>
                <w:szCs w:val="20"/>
              </w:rPr>
            </w:pPr>
            <w:r>
              <w:rPr>
                <w:rFonts w:cs="Times New Roman" w:ascii="Times New Roman" w:hAnsi="Times New Roman"/>
                <w:b/>
                <w:sz w:val="20"/>
                <w:szCs w:val="20"/>
              </w:rPr>
            </w:r>
          </w:p>
          <w:p>
            <w:pPr>
              <w:pStyle w:val="Normal"/>
              <w:rPr>
                <w:rFonts w:ascii="Times New Roman" w:hAnsi="Times New Roman" w:cs="Times New Roman"/>
                <w:b/>
                <w:b/>
                <w:sz w:val="20"/>
                <w:szCs w:val="20"/>
              </w:rPr>
            </w:pPr>
            <w:r>
              <w:rPr>
                <w:rFonts w:cs="Times New Roman" w:ascii="Times New Roman" w:hAnsi="Times New Roman"/>
                <w:b/>
                <w:sz w:val="20"/>
                <w:szCs w:val="20"/>
              </w:rPr>
              <w:t>Analyst</w:t>
            </w:r>
          </w:p>
          <w:p>
            <w:pPr>
              <w:pStyle w:val="Normal"/>
              <w:rPr>
                <w:rFonts w:ascii="Calibri" w:hAnsi="Calibri" w:cs="Calibri"/>
                <w:sz w:val="20"/>
                <w:szCs w:val="20"/>
              </w:rPr>
            </w:pPr>
            <w:r>
              <w:rPr>
                <w:rFonts w:cs="Calibri" w:ascii="Calibri" w:hAnsi="Calibri"/>
                <w:sz w:val="20"/>
                <w:szCs w:val="20"/>
              </w:rPr>
            </w:r>
          </w:p>
        </w:tc>
        <w:tc>
          <w:tcPr>
            <w:tcW w:w="8189"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Taking care End to End Procurement cycle by involving in Invoice process for all the contract resource of entire India</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Sole responsible for managing and processing additional payout to more than 7000 contract resources. </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Worked On Accenture </w:t>
            </w:r>
            <w:r>
              <w:rPr>
                <w:rFonts w:cs="Times New Roman" w:ascii="Times New Roman" w:hAnsi="Times New Roman"/>
                <w:b/>
                <w:bCs/>
                <w:color w:val="0070C0"/>
                <w:sz w:val="20"/>
                <w:szCs w:val="20"/>
              </w:rPr>
              <w:t>IQNportal</w:t>
            </w:r>
            <w:r>
              <w:rPr>
                <w:rFonts w:cs="Times New Roman" w:ascii="Times New Roman" w:hAnsi="Times New Roman"/>
                <w:color w:val="0070C0"/>
                <w:sz w:val="20"/>
                <w:szCs w:val="20"/>
              </w:rPr>
              <w:t xml:space="preserve"> for all the invoice process. </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Managed &amp; handled client escalations &amp; responding to huge E-mails on daily basis on stipulated time.</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Resolved Query&amp; provided solution to business, Supplier &amp; to the resource through Emails, Sky &amp; Lyn call.</w:t>
            </w:r>
          </w:p>
          <w:p>
            <w:pPr>
              <w:pStyle w:val="Normal"/>
              <w:widowControl/>
              <w:numPr>
                <w:ilvl w:val="0"/>
                <w:numId w:val="2"/>
              </w:numPr>
              <w:spacing w:lineRule="atLeast" w:line="272" w:before="60" w:afterAutospacing="1"/>
              <w:rPr>
                <w:rFonts w:ascii="Times New Roman" w:hAnsi="Times New Roman" w:cs="Times New Roman"/>
                <w:sz w:val="20"/>
                <w:szCs w:val="20"/>
              </w:rPr>
            </w:pPr>
            <w:r>
              <w:rPr>
                <w:rFonts w:cs="Times New Roman" w:ascii="Times New Roman" w:hAnsi="Times New Roman"/>
                <w:color w:val="0070C0"/>
                <w:sz w:val="20"/>
                <w:szCs w:val="20"/>
              </w:rPr>
              <w:t>Prepared data to analyze the output result through V-lookup &amp; Pivot table in order to take suitable decision for project.</w:t>
            </w:r>
          </w:p>
        </w:tc>
      </w:tr>
      <w:tr>
        <w:trPr>
          <w:trHeight w:val="233" w:hRule="atLeast"/>
        </w:trPr>
        <w:tc>
          <w:tcPr>
            <w:tcW w:w="2790"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rPr>
                <w:rFonts w:ascii="Calibri" w:hAnsi="Calibri" w:cs="Calibri"/>
                <w:sz w:val="20"/>
                <w:szCs w:val="20"/>
              </w:rPr>
            </w:pPr>
            <w:r>
              <w:rPr>
                <w:rFonts w:cs="Times New Roman" w:ascii="Times New Roman" w:hAnsi="Times New Roman"/>
                <w:b/>
                <w:sz w:val="20"/>
                <w:szCs w:val="20"/>
              </w:rPr>
              <w:t>Volantis Technologies</w:t>
            </w:r>
          </w:p>
        </w:tc>
        <w:tc>
          <w:tcPr>
            <w:tcW w:w="8189" w:type="dxa"/>
            <w:gridSpan w:val="7"/>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widowControl/>
              <w:spacing w:lineRule="atLeast" w:line="272" w:before="60" w:after="0"/>
              <w:ind w:left="720" w:hanging="0"/>
              <w:rPr>
                <w:rFonts w:ascii="Times New Roman" w:hAnsi="Times New Roman" w:cs="Times New Roman"/>
                <w:color w:val="0070C0"/>
                <w:sz w:val="20"/>
                <w:szCs w:val="20"/>
              </w:rPr>
            </w:pPr>
            <w:r>
              <w:rPr>
                <w:rFonts w:cs="Times New Roman" w:ascii="Times New Roman" w:hAnsi="Times New Roman"/>
                <w:b/>
                <w:sz w:val="20"/>
                <w:szCs w:val="20"/>
              </w:rPr>
              <w:t>HR Executive</w:t>
            </w:r>
            <w:r>
              <w:rPr>
                <w:rFonts w:cs="Calibri" w:ascii="Calibri" w:hAnsi="Calibri"/>
                <w:b/>
                <w:sz w:val="20"/>
                <w:szCs w:val="20"/>
              </w:rPr>
              <w:t>Aug 2016 – Sep 2017</w:t>
            </w:r>
          </w:p>
        </w:tc>
      </w:tr>
      <w:tr>
        <w:trPr>
          <w:trHeight w:val="1412" w:hRule="atLeast"/>
        </w:trPr>
        <w:tc>
          <w:tcPr>
            <w:tcW w:w="279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rPr>
                <w:rFonts w:ascii="Times New Roman" w:hAnsi="Times New Roman" w:cs="Times New Roman"/>
                <w:b/>
                <w:b/>
                <w:sz w:val="20"/>
                <w:szCs w:val="20"/>
              </w:rPr>
            </w:pPr>
            <w:r>
              <w:rPr>
                <w:rFonts w:cs="Times New Roman" w:ascii="Times New Roman" w:hAnsi="Times New Roman"/>
                <w:b/>
                <w:sz w:val="20"/>
                <w:szCs w:val="20"/>
              </w:rPr>
            </w:r>
          </w:p>
          <w:p>
            <w:pPr>
              <w:pStyle w:val="Normal"/>
              <w:rPr>
                <w:rFonts w:ascii="Times New Roman" w:hAnsi="Times New Roman" w:cs="Times New Roman"/>
                <w:b/>
                <w:b/>
                <w:sz w:val="20"/>
                <w:szCs w:val="20"/>
              </w:rPr>
            </w:pPr>
            <w:r>
              <w:rPr>
                <w:rFonts w:cs="Times New Roman" w:ascii="Times New Roman" w:hAnsi="Times New Roman"/>
                <w:b/>
                <w:sz w:val="20"/>
                <w:szCs w:val="20"/>
              </w:rPr>
            </w:r>
          </w:p>
          <w:p>
            <w:pPr>
              <w:pStyle w:val="Normal"/>
              <w:rPr>
                <w:rFonts w:ascii="Calibri" w:hAnsi="Calibri" w:cs="Calibri"/>
                <w:sz w:val="20"/>
                <w:szCs w:val="20"/>
              </w:rPr>
            </w:pPr>
            <w:r>
              <w:rPr>
                <w:rFonts w:cs="Times New Roman" w:ascii="Times New Roman" w:hAnsi="Times New Roman"/>
                <w:b/>
                <w:sz w:val="20"/>
                <w:szCs w:val="20"/>
              </w:rPr>
              <w:t>HR Executive</w:t>
            </w:r>
          </w:p>
        </w:tc>
        <w:tc>
          <w:tcPr>
            <w:tcW w:w="8189"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Oversees the human resources responsibilities and activities of a store </w:t>
            </w:r>
          </w:p>
          <w:p>
            <w:pPr>
              <w:pStyle w:val="Normal"/>
              <w:widowControl/>
              <w:numPr>
                <w:ilvl w:val="0"/>
                <w:numId w:val="2"/>
              </w:numPr>
              <w:spacing w:lineRule="atLeast" w:line="272" w:before="60" w:after="0"/>
              <w:rPr>
                <w:rFonts w:ascii="Times New Roman" w:hAnsi="Times New Roman" w:cs="Times New Roman"/>
                <w:color w:val="0070C0"/>
                <w:sz w:val="20"/>
                <w:szCs w:val="20"/>
              </w:rPr>
            </w:pPr>
            <w:r>
              <w:rPr>
                <w:rFonts w:cs="Times New Roman" w:ascii="Times New Roman" w:hAnsi="Times New Roman"/>
                <w:color w:val="0070C0"/>
                <w:sz w:val="20"/>
                <w:szCs w:val="20"/>
              </w:rPr>
              <w:t xml:space="preserve">Managed recruitment processes, employee relations, regulatory compliance, Full and final Settlement, training &amp; development, Payroll &amp; Attendance and administrative activities </w:t>
            </w:r>
          </w:p>
          <w:p>
            <w:pPr>
              <w:pStyle w:val="Normal"/>
              <w:widowControl/>
              <w:numPr>
                <w:ilvl w:val="0"/>
                <w:numId w:val="2"/>
              </w:numPr>
              <w:spacing w:lineRule="atLeast" w:line="272" w:before="60" w:afterAutospacing="1"/>
              <w:rPr>
                <w:rFonts w:ascii="Times New Roman" w:hAnsi="Times New Roman" w:cs="Times New Roman"/>
                <w:color w:val="0070C0"/>
                <w:sz w:val="20"/>
                <w:szCs w:val="20"/>
              </w:rPr>
            </w:pPr>
            <w:r>
              <w:rPr>
                <w:rFonts w:cs="Times New Roman" w:ascii="Times New Roman" w:hAnsi="Times New Roman"/>
                <w:color w:val="0070C0"/>
                <w:sz w:val="20"/>
                <w:szCs w:val="20"/>
              </w:rPr>
              <w:t>Maintaining employee data in SAP HR such as hiring, transfer, separation etc.</w:t>
            </w:r>
          </w:p>
        </w:tc>
      </w:tr>
    </w:tbl>
    <w:p>
      <w:pPr>
        <w:pStyle w:val="NoSpacing"/>
        <w:rPr>
          <w:b/>
          <w:b/>
          <w:bCs/>
        </w:rPr>
      </w:pPr>
      <w:r>
        <w:rPr>
          <w:b/>
          <w:bCs/>
        </w:rPr>
      </w:r>
    </w:p>
    <w:tbl>
      <w:tblPr>
        <w:tblStyle w:val="TableGrid"/>
        <w:tblW w:w="10890" w:type="dxa"/>
        <w:jc w:val="left"/>
        <w:tblInd w:w="-612" w:type="dxa"/>
        <w:tblCellMar>
          <w:top w:w="0" w:type="dxa"/>
          <w:left w:w="108" w:type="dxa"/>
          <w:bottom w:w="0" w:type="dxa"/>
          <w:right w:w="108" w:type="dxa"/>
        </w:tblCellMar>
        <w:tblLook w:val="04a0"/>
      </w:tblPr>
      <w:tblGrid>
        <w:gridCol w:w="10890"/>
      </w:tblGrid>
      <w:tr>
        <w:trPr/>
        <w:tc>
          <w:tcPr>
            <w:tcW w:w="10890" w:type="dxa"/>
            <w:tcBorders/>
            <w:shd w:color="auto" w:fill="DBE5F1" w:themeFill="accent1" w:themeFillTint="33" w:val="clear"/>
          </w:tcPr>
          <w:p>
            <w:pPr>
              <w:pStyle w:val="NoSpacing"/>
              <w:rPr>
                <w:b/>
                <w:b/>
                <w:bCs/>
                <w:color w:val="000000" w:themeColor="text1"/>
              </w:rPr>
            </w:pPr>
            <w:r>
              <w:rPr>
                <w:b/>
                <w:bCs/>
                <w:color w:val="000000" w:themeColor="text1"/>
              </w:rPr>
              <w:t>Achievements/ Awards</w:t>
            </w:r>
          </w:p>
        </w:tc>
      </w:tr>
      <w:tr>
        <w:trPr/>
        <w:tc>
          <w:tcPr>
            <w:tcW w:w="10890" w:type="dxa"/>
            <w:tcBorders/>
          </w:tcPr>
          <w:p>
            <w:pPr>
              <w:pStyle w:val="Normal"/>
              <w:widowControl/>
              <w:numPr>
                <w:ilvl w:val="0"/>
                <w:numId w:val="2"/>
              </w:numPr>
              <w:spacing w:lineRule="atLeast" w:line="272" w:before="60" w:after="0"/>
              <w:rPr>
                <w:rFonts w:ascii="Times New Roman" w:hAnsi="Times New Roman"/>
                <w:color w:val="0070C0"/>
                <w:sz w:val="20"/>
                <w:szCs w:val="20"/>
              </w:rPr>
            </w:pPr>
            <w:r>
              <w:rPr>
                <w:rFonts w:ascii="Times New Roman" w:hAnsi="Times New Roman"/>
                <w:color w:val="0070C0"/>
                <w:sz w:val="20"/>
                <w:szCs w:val="20"/>
              </w:rPr>
              <w:t>Achieved Exceptional Performance and got a recognition and awarded with Spot Bonus.</w:t>
            </w:r>
          </w:p>
          <w:p>
            <w:pPr>
              <w:pStyle w:val="Normal"/>
              <w:widowControl/>
              <w:numPr>
                <w:ilvl w:val="0"/>
                <w:numId w:val="2"/>
              </w:numPr>
              <w:spacing w:lineRule="atLeast" w:line="272" w:before="60" w:afterAutospacing="1"/>
              <w:rPr>
                <w:rFonts w:ascii="Times New Roman" w:hAnsi="Times New Roman"/>
                <w:color w:val="0070C0"/>
                <w:sz w:val="20"/>
                <w:szCs w:val="20"/>
              </w:rPr>
            </w:pPr>
            <w:r>
              <w:rPr>
                <w:rFonts w:ascii="Times New Roman" w:hAnsi="Times New Roman"/>
                <w:color w:val="0070C0"/>
                <w:sz w:val="20"/>
                <w:szCs w:val="20"/>
              </w:rPr>
              <w:t>Awards as an Extra Millers in KOCH, Bangalore.</w:t>
            </w:r>
          </w:p>
        </w:tc>
      </w:tr>
    </w:tbl>
    <w:p>
      <w:pPr>
        <w:pStyle w:val="Normal"/>
        <w:snapToGrid w:val="false"/>
        <w:spacing w:lineRule="auto" w:line="276"/>
        <w:jc w:val="both"/>
        <w:rPr>
          <w:rFonts w:ascii="Cambria" w:hAnsi="Cambria"/>
          <w:color w:val="000000"/>
        </w:rPr>
      </w:pPr>
      <w:r>
        <w:rPr>
          <w:rFonts w:ascii="Cambria" w:hAnsi="Cambria"/>
          <w:color w:val="000000"/>
        </w:rPr>
      </w:r>
    </w:p>
    <w:tbl>
      <w:tblPr>
        <w:tblStyle w:val="TableGrid"/>
        <w:tblW w:w="10890" w:type="dxa"/>
        <w:jc w:val="left"/>
        <w:tblInd w:w="-612" w:type="dxa"/>
        <w:tblCellMar>
          <w:top w:w="0" w:type="dxa"/>
          <w:left w:w="108" w:type="dxa"/>
          <w:bottom w:w="0" w:type="dxa"/>
          <w:right w:w="108" w:type="dxa"/>
        </w:tblCellMar>
        <w:tblLook w:val="04a0"/>
      </w:tblPr>
      <w:tblGrid>
        <w:gridCol w:w="2790"/>
        <w:gridCol w:w="8099"/>
      </w:tblGrid>
      <w:tr>
        <w:trPr>
          <w:trHeight w:val="350" w:hRule="atLeast"/>
        </w:trPr>
        <w:tc>
          <w:tcPr>
            <w:tcW w:w="2790" w:type="dxa"/>
            <w:tcBorders/>
            <w:shd w:color="auto" w:fill="FFFFFF" w:themeFill="background1" w:val="clear"/>
          </w:tcPr>
          <w:p>
            <w:pPr>
              <w:pStyle w:val="Normal"/>
              <w:snapToGrid w:val="false"/>
              <w:spacing w:lineRule="auto" w:line="276"/>
              <w:jc w:val="both"/>
              <w:rPr>
                <w:rFonts w:ascii="Calibri" w:hAnsi="Calibri" w:eastAsia="Calibri" w:cs="Times New Roman"/>
                <w:b/>
                <w:b/>
                <w:bCs/>
                <w:color w:val="000000" w:themeColor="text1"/>
                <w:sz w:val="22"/>
                <w:szCs w:val="22"/>
              </w:rPr>
            </w:pPr>
            <w:r>
              <w:rPr>
                <w:rFonts w:eastAsia="Calibri" w:cs="Times New Roman" w:ascii="Calibri" w:hAnsi="Calibri"/>
                <w:b/>
                <w:bCs/>
                <w:color w:val="000000" w:themeColor="text1"/>
                <w:sz w:val="22"/>
                <w:szCs w:val="22"/>
              </w:rPr>
            </w:r>
          </w:p>
          <w:p>
            <w:pPr>
              <w:pStyle w:val="Normal"/>
              <w:snapToGrid w:val="false"/>
              <w:spacing w:lineRule="auto" w:line="276"/>
              <w:jc w:val="both"/>
              <w:rPr>
                <w:rFonts w:ascii="Calibri" w:hAnsi="Calibri" w:eastAsia="Calibri" w:cs="Times New Roman"/>
                <w:b/>
                <w:b/>
                <w:bCs/>
                <w:color w:val="000000" w:themeColor="text1"/>
                <w:sz w:val="22"/>
                <w:szCs w:val="22"/>
              </w:rPr>
            </w:pPr>
            <w:r>
              <w:rPr>
                <w:rFonts w:cs="Times New Roman" w:ascii="Times New Roman" w:hAnsi="Times New Roman"/>
                <w:b/>
                <w:sz w:val="20"/>
                <w:szCs w:val="20"/>
              </w:rPr>
              <w:t>Personal Information</w:t>
            </w:r>
          </w:p>
        </w:tc>
        <w:tc>
          <w:tcPr>
            <w:tcW w:w="8099" w:type="dxa"/>
            <w:tcBorders/>
            <w:shd w:color="auto" w:fill="FFFFFF" w:themeFill="background1" w:val="clear"/>
          </w:tcPr>
          <w:p>
            <w:pPr>
              <w:pStyle w:val="Normal"/>
              <w:snapToGrid w:val="false"/>
              <w:spacing w:lineRule="auto" w:line="276"/>
              <w:jc w:val="both"/>
              <w:rPr>
                <w:rFonts w:ascii="Times New Roman" w:hAnsi="Times New Roman" w:cs="Times New Roman"/>
                <w:color w:val="0070C0"/>
                <w:sz w:val="20"/>
                <w:szCs w:val="20"/>
              </w:rPr>
            </w:pPr>
            <w:r>
              <w:rPr>
                <w:rFonts w:cs="Times New Roman" w:ascii="Times New Roman" w:hAnsi="Times New Roman"/>
                <w:color w:val="0070C0"/>
                <w:sz w:val="20"/>
                <w:szCs w:val="20"/>
              </w:rPr>
              <w:t>Sex – Female</w:t>
            </w:r>
          </w:p>
          <w:p>
            <w:pPr>
              <w:pStyle w:val="Normal"/>
              <w:snapToGrid w:val="false"/>
              <w:spacing w:lineRule="auto" w:line="276"/>
              <w:jc w:val="both"/>
              <w:rPr>
                <w:rFonts w:ascii="Times New Roman" w:hAnsi="Times New Roman" w:cs="Times New Roman"/>
                <w:color w:val="0070C0"/>
                <w:sz w:val="20"/>
                <w:szCs w:val="20"/>
              </w:rPr>
            </w:pPr>
            <w:r>
              <w:rPr>
                <w:rFonts w:cs="Times New Roman" w:ascii="Times New Roman" w:hAnsi="Times New Roman"/>
                <w:color w:val="0070C0"/>
                <w:sz w:val="20"/>
                <w:szCs w:val="20"/>
              </w:rPr>
              <w:t>DOB – 06 May 1992</w:t>
            </w:r>
          </w:p>
          <w:p>
            <w:pPr>
              <w:pStyle w:val="Normal"/>
              <w:snapToGrid w:val="false"/>
              <w:spacing w:lineRule="auto" w:line="276"/>
              <w:jc w:val="both"/>
              <w:rPr>
                <w:rFonts w:ascii="Times New Roman" w:hAnsi="Times New Roman" w:cs="Times New Roman"/>
                <w:color w:val="0070C0"/>
                <w:sz w:val="20"/>
                <w:szCs w:val="20"/>
              </w:rPr>
            </w:pPr>
            <w:r>
              <w:rPr>
                <w:rFonts w:cs="Times New Roman" w:ascii="Times New Roman" w:hAnsi="Times New Roman"/>
                <w:color w:val="0070C0"/>
                <w:sz w:val="20"/>
                <w:szCs w:val="20"/>
              </w:rPr>
              <w:t>Nationality – Indian</w:t>
            </w:r>
          </w:p>
          <w:p>
            <w:pPr>
              <w:pStyle w:val="Normal"/>
              <w:snapToGrid w:val="false"/>
              <w:spacing w:lineRule="auto" w:line="276"/>
              <w:jc w:val="both"/>
              <w:rPr>
                <w:rFonts w:ascii="Calibri" w:hAnsi="Calibri" w:eastAsia="Calibri" w:cs="Times New Roman"/>
                <w:b/>
                <w:b/>
                <w:bCs/>
                <w:color w:val="000000" w:themeColor="text1"/>
                <w:sz w:val="22"/>
                <w:szCs w:val="22"/>
              </w:rPr>
            </w:pPr>
            <w:r>
              <w:rPr>
                <w:rFonts w:cs="Times New Roman" w:ascii="Times New Roman" w:hAnsi="Times New Roman"/>
                <w:color w:val="0070C0"/>
                <w:sz w:val="20"/>
                <w:szCs w:val="20"/>
              </w:rPr>
              <w:t>Marital Status - Married</w:t>
            </w:r>
          </w:p>
        </w:tc>
      </w:tr>
    </w:tbl>
    <w:p>
      <w:pPr>
        <w:pStyle w:val="Normal"/>
        <w:snapToGrid w:val="false"/>
        <w:spacing w:lineRule="auto" w:line="276"/>
        <w:jc w:val="both"/>
        <w:rPr>
          <w:rFonts w:ascii="Cambria" w:hAnsi="Cambria"/>
          <w:color w:val="000000"/>
        </w:rPr>
      </w:pPr>
      <w:r>
        <w:rPr>
          <w:rFonts w:ascii="Cambria" w:hAnsi="Cambria"/>
          <w:color w:val="000000"/>
        </w:rPr>
      </w:r>
    </w:p>
    <w:p>
      <w:pPr>
        <w:pStyle w:val="Normal"/>
        <w:spacing w:lineRule="auto" w:line="259"/>
        <w:ind w:left="336" w:hanging="0"/>
        <w:rPr/>
      </w:pPr>
      <w:r>
        <w:rPr/>
        <w:t xml:space="preserve">                                                        </w:t>
      </w:r>
      <w:r>
        <w:rPr/>
        <w:t>Thank You!</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Verdana">
    <w:charset w:val="01"/>
    <w:family w:val="roman"/>
    <w:pitch w:val="variable"/>
  </w:font>
  <w:font w:name="Cambria">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c5712"/>
    <w:pPr>
      <w:widowControl w:val="false"/>
      <w:bidi w:val="0"/>
      <w:spacing w:before="0" w:after="0"/>
      <w:jc w:val="left"/>
    </w:pPr>
    <w:rPr>
      <w:rFonts w:ascii="Arial" w:hAnsi="Arial" w:eastAsia="Times New Roman" w:cs="Arial"/>
      <w:color w:val="auto"/>
      <w:kern w:val="0"/>
      <w:sz w:val="24"/>
      <w:szCs w:val="24"/>
      <w:lang w:val="en-US" w:eastAsia="en-US" w:bidi="ar-SA"/>
    </w:rPr>
  </w:style>
  <w:style w:type="paragraph" w:styleId="Heading7">
    <w:name w:val="Heading 7"/>
    <w:basedOn w:val="Normal"/>
    <w:next w:val="Normal"/>
    <w:link w:val="Heading7Char"/>
    <w:qFormat/>
    <w:rsid w:val="00ec5712"/>
    <w:pPr>
      <w:keepNext w:val="true"/>
      <w:widowControl/>
      <w:spacing w:before="240" w:after="60"/>
      <w:outlineLvl w:val="6"/>
    </w:pPr>
    <w:rPr>
      <w:rFonts w:ascii="Times New Roman" w:hAnsi="Times New Roman" w:cs="Times New Roman"/>
      <w:kern w:val="2"/>
    </w:rPr>
  </w:style>
  <w:style w:type="character" w:styleId="DefaultParagraphFont" w:default="1">
    <w:name w:val="Default Paragraph Font"/>
    <w:uiPriority w:val="1"/>
    <w:semiHidden/>
    <w:unhideWhenUsed/>
    <w:qFormat/>
    <w:rPr/>
  </w:style>
  <w:style w:type="character" w:styleId="Heading7Char" w:customStyle="1">
    <w:name w:val="Heading 7 Char"/>
    <w:link w:val="Heading7"/>
    <w:qFormat/>
    <w:rsid w:val="00ec5712"/>
    <w:rPr>
      <w:rFonts w:ascii="Times New Roman" w:hAnsi="Times New Roman" w:eastAsia="Times New Roman" w:cs="Times New Roman"/>
      <w:kern w:val="2"/>
      <w:sz w:val="24"/>
      <w:szCs w:val="24"/>
    </w:rPr>
  </w:style>
  <w:style w:type="character" w:styleId="BodyTextChar" w:customStyle="1">
    <w:name w:val="Body Text Char"/>
    <w:link w:val="BodyText"/>
    <w:qFormat/>
    <w:rsid w:val="00ec5712"/>
    <w:rPr>
      <w:rFonts w:ascii="Times New Roman" w:hAnsi="Times New Roman" w:eastAsia="Times New Roman" w:cs="Times New Roman"/>
      <w:kern w:val="2"/>
      <w:sz w:val="24"/>
      <w:szCs w:val="20"/>
    </w:rPr>
  </w:style>
  <w:style w:type="character" w:styleId="InternetLink">
    <w:name w:val="Hyperlink"/>
    <w:uiPriority w:val="99"/>
    <w:unhideWhenUsed/>
    <w:rsid w:val="00524b7d"/>
    <w:rPr>
      <w:color w:val="0000FF"/>
      <w:u w:val="single"/>
    </w:rPr>
  </w:style>
  <w:style w:type="character" w:styleId="BalloonTextChar" w:customStyle="1">
    <w:name w:val="Balloon Text Char"/>
    <w:link w:val="BalloonText"/>
    <w:uiPriority w:val="99"/>
    <w:semiHidden/>
    <w:qFormat/>
    <w:rsid w:val="00524b7d"/>
    <w:rPr>
      <w:rFonts w:ascii="Tahoma" w:hAnsi="Tahoma" w:eastAsia="Times New Roman" w:cs="Tahoma"/>
      <w:sz w:val="16"/>
      <w:szCs w:val="16"/>
    </w:rPr>
  </w:style>
  <w:style w:type="character" w:styleId="HeaderChar" w:customStyle="1">
    <w:name w:val="Header Char"/>
    <w:basedOn w:val="DefaultParagraphFont"/>
    <w:link w:val="Header"/>
    <w:uiPriority w:val="99"/>
    <w:qFormat/>
    <w:rsid w:val="00180483"/>
    <w:rPr>
      <w:rFonts w:ascii="Arial" w:hAnsi="Arial" w:eastAsia="Times New Roman" w:cs="Arial"/>
      <w:sz w:val="24"/>
      <w:szCs w:val="24"/>
    </w:rPr>
  </w:style>
  <w:style w:type="character" w:styleId="FooterChar" w:customStyle="1">
    <w:name w:val="Footer Char"/>
    <w:basedOn w:val="DefaultParagraphFont"/>
    <w:link w:val="Footer"/>
    <w:uiPriority w:val="99"/>
    <w:qFormat/>
    <w:rsid w:val="00180483"/>
    <w:rPr>
      <w:rFonts w:ascii="Arial" w:hAnsi="Arial" w:eastAsia="Times New Roman" w:cs="Arial"/>
      <w:sz w:val="24"/>
      <w:szCs w:val="24"/>
    </w:rPr>
  </w:style>
  <w:style w:type="character" w:styleId="Annotationreference">
    <w:name w:val="annotation reference"/>
    <w:basedOn w:val="DefaultParagraphFont"/>
    <w:uiPriority w:val="99"/>
    <w:semiHidden/>
    <w:unhideWhenUsed/>
    <w:qFormat/>
    <w:rsid w:val="002564b5"/>
    <w:rPr>
      <w:sz w:val="16"/>
      <w:szCs w:val="16"/>
    </w:rPr>
  </w:style>
  <w:style w:type="character" w:styleId="CommentTextChar" w:customStyle="1">
    <w:name w:val="Comment Text Char"/>
    <w:basedOn w:val="DefaultParagraphFont"/>
    <w:link w:val="CommentText"/>
    <w:uiPriority w:val="99"/>
    <w:semiHidden/>
    <w:qFormat/>
    <w:rsid w:val="002564b5"/>
    <w:rPr>
      <w:rFonts w:ascii="Arial" w:hAnsi="Arial" w:eastAsia="Times New Roman" w:cs="Arial"/>
    </w:rPr>
  </w:style>
  <w:style w:type="character" w:styleId="CommentSubjectChar" w:customStyle="1">
    <w:name w:val="Comment Subject Char"/>
    <w:basedOn w:val="CommentTextChar"/>
    <w:link w:val="CommentSubject"/>
    <w:uiPriority w:val="99"/>
    <w:semiHidden/>
    <w:qFormat/>
    <w:rsid w:val="002564b5"/>
    <w:rPr>
      <w:rFonts w:ascii="Arial" w:hAnsi="Arial" w:eastAsia="Times New Roman" w:cs="Arial"/>
      <w:b/>
      <w:bCs/>
    </w:rPr>
  </w:style>
  <w:style w:type="character" w:styleId="UnresolvedMention" w:customStyle="1">
    <w:name w:val="Unresolved Mention"/>
    <w:basedOn w:val="DefaultParagraphFont"/>
    <w:uiPriority w:val="99"/>
    <w:semiHidden/>
    <w:unhideWhenUsed/>
    <w:qFormat/>
    <w:rsid w:val="002932ca"/>
    <w:rPr>
      <w:color w:val="605E5C"/>
      <w:shd w:fill="E1DFDD" w:val="clear"/>
    </w:rPr>
  </w:style>
  <w:style w:type="character" w:styleId="Strong">
    <w:name w:val="Strong"/>
    <w:basedOn w:val="DefaultParagraphFont"/>
    <w:uiPriority w:val="22"/>
    <w:qFormat/>
    <w:rsid w:val="00344d3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ec5712"/>
    <w:pPr>
      <w:keepNext w:val="true"/>
      <w:widowControl/>
      <w:tabs>
        <w:tab w:val="clear" w:pos="720"/>
        <w:tab w:val="left" w:pos="540" w:leader="none"/>
        <w:tab w:val="left" w:pos="3420" w:leader="none"/>
      </w:tabs>
      <w:jc w:val="both"/>
    </w:pPr>
    <w:rPr>
      <w:rFonts w:ascii="Times New Roman" w:hAnsi="Times New Roman" w:cs="Times New Roman"/>
      <w:kern w:val="2"/>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ec5712"/>
    <w:pPr>
      <w:spacing w:before="0" w:after="0"/>
      <w:ind w:left="720" w:hanging="0"/>
      <w:contextualSpacing/>
    </w:pPr>
    <w:rPr/>
  </w:style>
  <w:style w:type="paragraph" w:styleId="NormalWeb">
    <w:name w:val="Normal (Web)"/>
    <w:basedOn w:val="Normal"/>
    <w:uiPriority w:val="99"/>
    <w:qFormat/>
    <w:rsid w:val="00ec5712"/>
    <w:pPr>
      <w:widowControl/>
      <w:spacing w:beforeAutospacing="1" w:afterAutospacing="1"/>
    </w:pPr>
    <w:rPr>
      <w:rFonts w:ascii="Times New Roman" w:hAnsi="Times New Roman" w:cs="Times New Roman"/>
    </w:rPr>
  </w:style>
  <w:style w:type="paragraph" w:styleId="NoSpacing">
    <w:name w:val="No Spacing"/>
    <w:uiPriority w:val="1"/>
    <w:qFormat/>
    <w:rsid w:val="00524b7d"/>
    <w:pPr>
      <w:widowControl/>
      <w:bidi w:val="0"/>
      <w:spacing w:before="0" w:after="0"/>
      <w:jc w:val="left"/>
    </w:pPr>
    <w:rPr>
      <w:rFonts w:ascii="Calibri" w:hAnsi="Calibri" w:eastAsia="Calibri" w:cs="Times New Roman"/>
      <w:color w:val="auto"/>
      <w:kern w:val="0"/>
      <w:sz w:val="22"/>
      <w:szCs w:val="22"/>
      <w:lang w:val="en-US" w:eastAsia="en-US" w:bidi="ar-SA"/>
    </w:rPr>
  </w:style>
  <w:style w:type="paragraph" w:styleId="BalloonText">
    <w:name w:val="Balloon Text"/>
    <w:basedOn w:val="Normal"/>
    <w:link w:val="BalloonTextChar"/>
    <w:uiPriority w:val="99"/>
    <w:semiHidden/>
    <w:unhideWhenUsed/>
    <w:qFormat/>
    <w:rsid w:val="00524b7d"/>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180483"/>
    <w:pPr>
      <w:tabs>
        <w:tab w:val="clear" w:pos="720"/>
        <w:tab w:val="center" w:pos="4680" w:leader="none"/>
        <w:tab w:val="right" w:pos="9360" w:leader="none"/>
      </w:tabs>
    </w:pPr>
    <w:rPr/>
  </w:style>
  <w:style w:type="paragraph" w:styleId="Footer">
    <w:name w:val="Footer"/>
    <w:basedOn w:val="Normal"/>
    <w:link w:val="FooterChar"/>
    <w:uiPriority w:val="99"/>
    <w:unhideWhenUsed/>
    <w:rsid w:val="00180483"/>
    <w:pPr>
      <w:tabs>
        <w:tab w:val="clear" w:pos="720"/>
        <w:tab w:val="center" w:pos="4680" w:leader="none"/>
        <w:tab w:val="right" w:pos="9360" w:leader="none"/>
      </w:tabs>
    </w:pPr>
    <w:rPr/>
  </w:style>
  <w:style w:type="paragraph" w:styleId="ResumeBulletPoints" w:customStyle="1">
    <w:name w:val="Resume_Bullet Points"/>
    <w:basedOn w:val="Normal"/>
    <w:qFormat/>
    <w:rsid w:val="007b661f"/>
    <w:pPr>
      <w:widowControl/>
      <w:spacing w:before="60" w:after="60"/>
    </w:pPr>
    <w:rPr>
      <w:rFonts w:cs="Times New Roman"/>
      <w:sz w:val="20"/>
    </w:rPr>
  </w:style>
  <w:style w:type="paragraph" w:styleId="Char" w:customStyle="1">
    <w:name w:val="Char"/>
    <w:basedOn w:val="Normal"/>
    <w:qFormat/>
    <w:rsid w:val="00530db9"/>
    <w:pPr>
      <w:widowControl/>
      <w:spacing w:lineRule="exact" w:line="240" w:before="60" w:after="160"/>
    </w:pPr>
    <w:rPr>
      <w:rFonts w:ascii="Verdana" w:hAnsi="Verdana"/>
      <w:color w:val="FF00FF"/>
      <w:sz w:val="20"/>
      <w:lang w:val="en-GB"/>
    </w:rPr>
  </w:style>
  <w:style w:type="paragraph" w:styleId="Annotationtext">
    <w:name w:val="annotation text"/>
    <w:basedOn w:val="Normal"/>
    <w:link w:val="CommentTextChar"/>
    <w:uiPriority w:val="99"/>
    <w:semiHidden/>
    <w:unhideWhenUsed/>
    <w:qFormat/>
    <w:rsid w:val="002564b5"/>
    <w:pPr/>
    <w:rPr>
      <w:sz w:val="20"/>
      <w:szCs w:val="20"/>
    </w:rPr>
  </w:style>
  <w:style w:type="paragraph" w:styleId="Annotationsubject">
    <w:name w:val="annotation subject"/>
    <w:basedOn w:val="Annotationtext"/>
    <w:next w:val="Annotationtext"/>
    <w:link w:val="CommentSubjectChar"/>
    <w:uiPriority w:val="99"/>
    <w:semiHidden/>
    <w:unhideWhenUsed/>
    <w:qFormat/>
    <w:rsid w:val="002564b5"/>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524b7d"/>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List-Accent3">
    <w:name w:val="Light List Accent 3"/>
    <w:basedOn w:val="TableNormal"/>
    <w:uiPriority w:val="61"/>
    <w:rsid w:val="00dd1782"/>
    <w:rPr>
      <w:rFonts w:asciiTheme="minorHAnsi" w:hAnsiTheme="minorHAnsi" w:eastAsiaTheme="minorEastAsia" w:cstheme="minorBidi"/>
      <w:sz w:val="22"/>
      <w:szCs w:val="22"/>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omalkrishna14@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FE0712-3560-4311-B941-24170637A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154527</TotalTime>
  <Application>LibreOffice/6.4.7.2$Linux_X86_64 LibreOffice_project/40$Build-2</Application>
  <Pages>2</Pages>
  <Words>724</Words>
  <Characters>4560</Characters>
  <CharactersWithSpaces>5235</CharactersWithSpaces>
  <Paragraphs>90</Paragraphs>
  <Company>Xerox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2025-08-14T08:52:00Z</dcterms:created>
  <dc:creator>Kant, Ujjawal</dc:creator>
  <dc:description/>
  <dc:language>en-IN</dc:language>
  <cp:lastModifiedBy>ADMIN</cp:lastModifiedBy>
  <cp:lastPrinted>2014-07-10T06:27:00Z</cp:lastPrinted>
  <dcterms:modified xsi:type="dcterms:W3CDTF">2026-07-06T06:26:00Z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Xerox Corporation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