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spacing w:before="0" w:after="40"/>
        <w:jc w:val="center"/>
      </w:pPr>
      <w:r>
        <w:rPr>
          <w:rFonts w:ascii="Arial" w:eastAsia="Arial" w:hAnsi="Arial" w:cs="Arial"/>
          <w:b/>
          <w:bCs/>
          <w:color w:val="1A4F8A"/>
          <w:sz w:val="42"/>
          <w:szCs w:val="42"/>
        </w:rPr>
        <w:t>MANISH CHANDRA SEKHAR GAJULA</w:t>
      </w:r>
    </w:p>
    <w:p>
      <w:pPr>
        <w:spacing w:before="0" w:after="60"/>
        <w:jc w:val="center"/>
      </w:pPr>
      <w:r>
        <w:rPr>
          <w:rFonts w:ascii="Arial" w:eastAsia="Arial" w:hAnsi="Arial" w:cs="Arial"/>
          <w:i/>
          <w:iCs/>
          <w:color w:val="444444"/>
          <w:sz w:val="21"/>
          <w:szCs w:val="21"/>
        </w:rPr>
        <w:t>Incident Manager  |  ITIL Service Management  |  Major Incident Response</w:t>
      </w:r>
    </w:p>
    <w:p>
      <w:pPr>
        <w:spacing w:before="0" w:after="20"/>
        <w:jc w:val="center"/>
      </w:pPr>
      <w:r>
        <w:rPr>
          <w:rFonts w:ascii="Arial" w:eastAsia="Arial" w:hAnsi="Arial" w:cs="Arial"/>
          <w:color w:val="666666"/>
          <w:sz w:val="19"/>
          <w:szCs w:val="19"/>
        </w:rPr>
        <w:t>Hyderabad, India  •  +91 9505210090  •  manishgajula512@gmail.com  •  linkedin.com/in/manish-gajula-4110899a</w:t>
      </w:r>
    </w:p>
    <w:p>
      <w:pPr>
        <w:pBdr>
          <w:bottom w:val="single" w:sz="10" w:space="2" w:color="2563A8"/>
        </w:pBdr>
        <w:spacing w:before="0" w:after="0"/>
      </w:pPr>
    </w:p>
    <w:p>
      <w:pPr>
        <w:spacing w:before="240" w:after="60"/>
      </w:pPr>
      <w:r>
        <w:rPr>
          <w:rFonts w:ascii="Arial" w:eastAsia="Arial" w:hAnsi="Arial" w:cs="Arial"/>
          <w:b/>
          <w:bCs/>
          <w:color w:val="1A4F8A"/>
          <w:sz w:val="22"/>
          <w:szCs w:val="22"/>
        </w:rPr>
        <w:t>PROFESSIONAL SUMMARY</w:t>
      </w:r>
    </w:p>
    <w:p>
      <w:pPr>
        <w:pBdr>
          <w:bottom w:val="single" w:sz="10" w:space="2" w:color="2563A8"/>
        </w:pBdr>
        <w:spacing w:before="0" w:after="0"/>
      </w:pPr>
    </w:p>
    <w:p>
      <w:pPr>
        <w:spacing w:before="80" w:after="60"/>
      </w:pPr>
      <w:r>
        <w:rPr>
          <w:rFonts w:ascii="Arial" w:eastAsia="Arial" w:hAnsi="Arial" w:cs="Arial"/>
          <w:color w:val="1A1A1A"/>
          <w:sz w:val="20"/>
          <w:szCs w:val="20"/>
        </w:rPr>
        <w:t>Dedicated Incident Manager with 6+ years of IT service management experience, including 4+ years driving end-to-end Major Incident Management at Accenture. Proven expertise in owning and resolving Severity 1 (P1/P2) and critical incidents, leading bridge calls and war rooms, and restoring services within SLA/OLA targets. Adept at root cause analysis (RCA), post-incident reviews (PIR), stakeholder communications, and cross-functional coordination. Recognized with Accenture's V360 Award (2024) for exceeding client expectations and Best Performer accolades.</w:t>
      </w:r>
    </w:p>
    <w:p>
      <w:pPr>
        <w:spacing w:before="240" w:after="60"/>
      </w:pPr>
      <w:r>
        <w:rPr>
          <w:rFonts w:ascii="Arial" w:eastAsia="Arial" w:hAnsi="Arial" w:cs="Arial"/>
          <w:b/>
          <w:bCs/>
          <w:color w:val="1A4F8A"/>
          <w:sz w:val="22"/>
          <w:szCs w:val="22"/>
        </w:rPr>
        <w:t>CORE COMPETENCIES</w:t>
      </w:r>
    </w:p>
    <w:p>
      <w:pPr>
        <w:pBdr>
          <w:bottom w:val="single" w:sz="10" w:space="2" w:color="2563A8"/>
        </w:pBdr>
        <w:spacing w:before="0" w:after="0"/>
      </w:pPr>
    </w:p>
    <w:p>
      <w:pPr>
        <w:spacing w:before="80" w:after="30"/>
      </w:pPr>
      <w:r>
        <w:rPr>
          <w:rFonts w:ascii="Arial" w:eastAsia="Arial" w:hAnsi="Arial" w:cs="Arial"/>
          <w:color w:val="1A1A1A"/>
          <w:sz w:val="20"/>
          <w:szCs w:val="20"/>
        </w:rPr>
        <w:t>Major / Critical Incident Management  •  P1/P2/Sev-A Incident Ownership  •  ITIL Framework (Foundation)  •  SLA &amp; OLA Adherence</w:t>
      </w:r>
    </w:p>
    <w:p>
      <w:pPr>
        <w:spacing w:before="0" w:after="30"/>
      </w:pPr>
      <w:r>
        <w:rPr>
          <w:rFonts w:ascii="Arial" w:eastAsia="Arial" w:hAnsi="Arial" w:cs="Arial"/>
          <w:color w:val="1A1A1A"/>
          <w:sz w:val="20"/>
          <w:szCs w:val="20"/>
        </w:rPr>
        <w:t>Bridge Call &amp; War Room Facilitation  •  Escalation Management  •  Root Cause Analysis (RCA)  •  Post-Incident Review (PIR)</w:t>
      </w:r>
    </w:p>
    <w:p>
      <w:pPr>
        <w:spacing w:before="0" w:after="30"/>
      </w:pPr>
      <w:r>
        <w:rPr>
          <w:rFonts w:ascii="Arial" w:eastAsia="Arial" w:hAnsi="Arial" w:cs="Arial"/>
          <w:color w:val="1A1A1A"/>
          <w:sz w:val="20"/>
          <w:szCs w:val="20"/>
        </w:rPr>
        <w:t>Problem Management  •  Change Management  •  ServiceNow (ITSM)  •  Stakeholder Communication &amp; Reporting</w:t>
      </w:r>
    </w:p>
    <w:p>
      <w:pPr>
        <w:spacing w:before="0" w:after="60"/>
      </w:pPr>
      <w:r>
        <w:rPr>
          <w:rFonts w:ascii="Arial" w:eastAsia="Arial" w:hAnsi="Arial" w:cs="Arial"/>
          <w:color w:val="1A1A1A"/>
          <w:sz w:val="20"/>
          <w:szCs w:val="20"/>
        </w:rPr>
        <w:t>Crisis Management  •  Incident Lifecycle Management  •  MTTR Reduction  •  Continual Service Improvement (CSI)</w:t>
      </w:r>
    </w:p>
    <w:p>
      <w:pPr>
        <w:spacing w:before="240" w:after="60"/>
      </w:pPr>
      <w:r>
        <w:rPr>
          <w:rFonts w:ascii="Arial" w:eastAsia="Arial" w:hAnsi="Arial" w:cs="Arial"/>
          <w:b/>
          <w:bCs/>
          <w:color w:val="1A4F8A"/>
          <w:sz w:val="22"/>
          <w:szCs w:val="22"/>
        </w:rPr>
        <w:t>PROFESSIONAL EXPERIENCE</w:t>
      </w:r>
    </w:p>
    <w:p>
      <w:pPr>
        <w:pBdr>
          <w:bottom w:val="single" w:sz="10" w:space="2" w:color="2563A8"/>
        </w:pBdr>
        <w:spacing w:before="0" w:after="0"/>
      </w:pPr>
    </w:p>
    <w:p>
      <w:pPr>
        <w:tabs>
          <w:tab w:val="right" w:pos="9360"/>
        </w:tabs>
        <w:spacing w:before="160" w:after="1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Incident Manager / IT Service Management Analyst</w:t>
      </w:r>
      <w:r>
        <w:tab/>
      </w:r>
      <w:r>
        <w:rPr>
          <w:rFonts w:ascii="Arial" w:eastAsia="Arial" w:hAnsi="Arial" w:cs="Arial"/>
          <w:i/>
          <w:iCs/>
          <w:color w:val="999999"/>
          <w:sz w:val="19"/>
          <w:szCs w:val="19"/>
        </w:rPr>
        <w:t>Oct 2019 – Present</w:t>
      </w:r>
    </w:p>
    <w:p>
      <w:pPr>
        <w:spacing w:before="0" w:after="80"/>
      </w:pPr>
      <w:r>
        <w:rPr>
          <w:rFonts w:ascii="Arial" w:eastAsia="Arial" w:hAnsi="Arial" w:cs="Arial"/>
          <w:b/>
          <w:bCs/>
          <w:color w:val="1A4F8A"/>
          <w:sz w:val="20"/>
          <w:szCs w:val="20"/>
        </w:rPr>
        <w:t>Accenture Pvt Ltd</w:t>
      </w:r>
      <w:r>
        <w:rPr>
          <w:rFonts w:ascii="Arial" w:eastAsia="Arial" w:hAnsi="Arial" w:cs="Arial"/>
          <w:color w:val="666666"/>
          <w:sz w:val="19"/>
          <w:szCs w:val="19"/>
        </w:rPr>
        <w:t xml:space="preserve">  |  Hyderabad, India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  <w:sz w:val="20"/>
          <w:szCs w:val="20"/>
        </w:rPr>
        <w:t>Own end-to-end Major Incident lifecycle for Severity 1 (Sev-A/P1) and critical incidents — from detection and triage through resolution and closure — acting as the single point of accountability.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  <w:sz w:val="20"/>
          <w:szCs w:val="20"/>
        </w:rPr>
        <w:t>Chair and facilitate bridge calls and war rooms, coordinating resolver groups, technical SMEs, third-party vendors, and leadership to drive rapid service restoration within agreed SLA/OLA targets.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  <w:sz w:val="20"/>
          <w:szCs w:val="20"/>
        </w:rPr>
        <w:t>Deliver timely, accurate stakeholder communications throughout the incident lifecycle, covering business impact, risk assessment, prioritization, workarounds, and estimated time to resolution (ETR).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  <w:sz w:val="20"/>
          <w:szCs w:val="20"/>
        </w:rPr>
        <w:t>Lead Post-Incident Reviews (PIR) and Root Cause Analysis (RCA), documenting findings and implementing preventive controls to reduce repeat incidents and lower Mean Time to Resolve (MTTR).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  <w:sz w:val="20"/>
          <w:szCs w:val="20"/>
        </w:rPr>
        <w:t>Manage escalation pathways, ensuring appropriate team engagement, executive-level visibility, and seamless 24/7 shift handovers across geographies.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  <w:sz w:val="20"/>
          <w:szCs w:val="20"/>
        </w:rPr>
        <w:t>Provide proactive crisis management support during high-severity outages, maintaining stakeholder engagement and ensuring critical issues are addressed in line with client commitments.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  <w:sz w:val="20"/>
          <w:szCs w:val="20"/>
        </w:rPr>
        <w:t>Perform trend analysis on incident data to identify recurring failure patterns; present improvement recommendations to the Problem Management team as part of Continual Service Improvement (CSI).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  <w:sz w:val="20"/>
          <w:szCs w:val="20"/>
        </w:rPr>
        <w:t>Maintain accurate incident records and management documentation in ServiceNow (ITSM), ensuring compliance with governance and audit requirements.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  <w:sz w:val="20"/>
          <w:szCs w:val="20"/>
        </w:rPr>
        <w:t>Achieved V360 Award (2024) for exemplary performance exceeding client expectations; Best Performer recognition (2023, weekly &amp; monthly); Superstar Award for 100% scorecard metrics across 3 consecutive quarters.</w:t>
      </w:r>
    </w:p>
    <w:p>
      <w:pPr>
        <w:tabs>
          <w:tab w:val="right" w:pos="9360"/>
        </w:tabs>
        <w:spacing w:before="160" w:after="1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Customer &amp; Technical Support Associate (Alternate Team Lead)</w:t>
      </w:r>
      <w:r>
        <w:tab/>
      </w:r>
      <w:r>
        <w:rPr>
          <w:rFonts w:ascii="Arial" w:eastAsia="Arial" w:hAnsi="Arial" w:cs="Arial"/>
          <w:i/>
          <w:iCs/>
          <w:color w:val="999999"/>
          <w:sz w:val="19"/>
          <w:szCs w:val="19"/>
        </w:rPr>
        <w:t>Apr 2019 – Oct 2019</w:t>
      </w:r>
    </w:p>
    <w:p>
      <w:pPr>
        <w:spacing w:before="0" w:after="80"/>
      </w:pPr>
      <w:r>
        <w:rPr>
          <w:rFonts w:ascii="Arial" w:eastAsia="Arial" w:hAnsi="Arial" w:cs="Arial"/>
          <w:b/>
          <w:bCs/>
          <w:color w:val="1A4F8A"/>
          <w:sz w:val="20"/>
          <w:szCs w:val="20"/>
        </w:rPr>
        <w:t>Accenture Pvt Ltd</w:t>
      </w:r>
      <w:r>
        <w:rPr>
          <w:rFonts w:ascii="Arial" w:eastAsia="Arial" w:hAnsi="Arial" w:cs="Arial"/>
          <w:color w:val="666666"/>
          <w:sz w:val="19"/>
          <w:szCs w:val="19"/>
        </w:rPr>
        <w:t xml:space="preserve">  |  Hyderabad, India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  <w:sz w:val="20"/>
          <w:szCs w:val="20"/>
        </w:rPr>
        <w:t>Delivered international technical and order management support for Google Pixel products via chat and email, maintaining high CSAT and first-contact resolution rates.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  <w:sz w:val="20"/>
          <w:szCs w:val="20"/>
        </w:rPr>
        <w:t>Acted as alternate team lead — managed shift operations, handled escalations, and coached team members on quality standards and process adherence.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  <w:sz w:val="20"/>
          <w:szCs w:val="20"/>
        </w:rPr>
        <w:t>Monitored individual and team KRA/SLA metrics, providing quality feedback and identifying process improvements to drive consistent performance.</w:t>
      </w:r>
    </w:p>
    <w:p>
      <w:pPr>
        <w:tabs>
          <w:tab w:val="right" w:pos="9360"/>
        </w:tabs>
        <w:spacing w:before="160" w:after="1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Digital Interaction Advisor</w:t>
      </w:r>
      <w:r>
        <w:tab/>
      </w:r>
      <w:r>
        <w:rPr>
          <w:rFonts w:ascii="Arial" w:eastAsia="Arial" w:hAnsi="Arial" w:cs="Arial"/>
          <w:i/>
          <w:iCs/>
          <w:color w:val="999999"/>
          <w:sz w:val="19"/>
          <w:szCs w:val="19"/>
        </w:rPr>
        <w:t>Jan 2017 – Apr 2018</w:t>
      </w:r>
    </w:p>
    <w:p>
      <w:pPr>
        <w:spacing w:before="0" w:after="80"/>
      </w:pPr>
      <w:r>
        <w:rPr>
          <w:rFonts w:ascii="Arial" w:eastAsia="Arial" w:hAnsi="Arial" w:cs="Arial"/>
          <w:b/>
          <w:bCs/>
          <w:color w:val="1A4F8A"/>
          <w:sz w:val="20"/>
          <w:szCs w:val="20"/>
        </w:rPr>
        <w:t>[24]7.ai</w:t>
      </w:r>
      <w:r>
        <w:rPr>
          <w:rFonts w:ascii="Arial" w:eastAsia="Arial" w:hAnsi="Arial" w:cs="Arial"/>
          <w:color w:val="666666"/>
          <w:sz w:val="19"/>
          <w:szCs w:val="19"/>
        </w:rPr>
        <w:t xml:space="preserve">  |  Hyderabad, India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  <w:sz w:val="20"/>
          <w:szCs w:val="20"/>
        </w:rPr>
        <w:t>Delivered high-quality customer service for international retail banking clients via live chat, consistently resolving complex queries within SLA.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  <w:sz w:val="20"/>
          <w:szCs w:val="20"/>
        </w:rPr>
        <w:t>Met and exceeded individual KRA and team SLA targets, maintaining strong CSAT scores across all measured periods.</w:t>
      </w:r>
    </w:p>
    <w:p>
      <w:pPr>
        <w:spacing w:before="240" w:after="60"/>
      </w:pPr>
      <w:r>
        <w:rPr>
          <w:rFonts w:ascii="Arial" w:eastAsia="Arial" w:hAnsi="Arial" w:cs="Arial"/>
          <w:b/>
          <w:bCs/>
          <w:color w:val="1A4F8A"/>
          <w:sz w:val="22"/>
          <w:szCs w:val="22"/>
        </w:rPr>
        <w:t>AWARDS &amp; RECOGNITION</w:t>
      </w:r>
    </w:p>
    <w:p>
      <w:pPr>
        <w:pBdr>
          <w:bottom w:val="single" w:sz="10" w:space="2" w:color="2563A8"/>
        </w:pBdr>
        <w:spacing w:before="0" w:after="0"/>
      </w:pPr>
    </w:p>
    <w:p>
      <w:pPr>
        <w:spacing w:before="80" w:after="40"/>
      </w:pPr>
      <w:r>
        <w:rPr>
          <w:rFonts w:ascii="Arial" w:eastAsia="Arial" w:hAnsi="Arial" w:cs="Arial"/>
          <w:b/>
          <w:bCs/>
          <w:color w:val="1A1A1A"/>
          <w:sz w:val="20"/>
          <w:szCs w:val="20"/>
        </w:rPr>
        <w:t xml:space="preserve">V360 Award – Accenture (2024): </w:t>
      </w:r>
      <w:r>
        <w:rPr>
          <w:rFonts w:ascii="Arial" w:eastAsia="Arial" w:hAnsi="Arial" w:cs="Arial"/>
          <w:color w:val="1A1A1A"/>
          <w:sz w:val="20"/>
          <w:szCs w:val="20"/>
        </w:rPr>
        <w:t>Awarded for exemplary commitment to going above and beyond duties and consistently exceeding client expectations.</w:t>
      </w:r>
    </w:p>
    <w:p>
      <w:pPr>
        <w:spacing w:before="0" w:after="40"/>
      </w:pPr>
      <w:r>
        <w:rPr>
          <w:rFonts w:ascii="Arial" w:eastAsia="Arial" w:hAnsi="Arial" w:cs="Arial"/>
          <w:b/>
          <w:bCs/>
          <w:color w:val="1A1A1A"/>
          <w:sz w:val="20"/>
          <w:szCs w:val="20"/>
        </w:rPr>
        <w:t xml:space="preserve">Best Performer Award – Accenture (2023): </w:t>
      </w:r>
      <w:r>
        <w:rPr>
          <w:rFonts w:ascii="Arial" w:eastAsia="Arial" w:hAnsi="Arial" w:cs="Arial"/>
          <w:color w:val="1A1A1A"/>
          <w:sz w:val="20"/>
          <w:szCs w:val="20"/>
        </w:rPr>
        <w:t>Recognised with recurring weekly and monthly best performer accolades.</w:t>
      </w:r>
    </w:p>
    <w:p>
      <w:pPr>
        <w:spacing w:before="0" w:after="60"/>
      </w:pPr>
      <w:r>
        <w:rPr>
          <w:rFonts w:ascii="Arial" w:eastAsia="Arial" w:hAnsi="Arial" w:cs="Arial"/>
          <w:b/>
          <w:bCs/>
          <w:color w:val="1A1A1A"/>
          <w:sz w:val="20"/>
          <w:szCs w:val="20"/>
        </w:rPr>
        <w:t xml:space="preserve">Superstar Award – Accenture: </w:t>
      </w:r>
      <w:r>
        <w:rPr>
          <w:rFonts w:ascii="Arial" w:eastAsia="Arial" w:hAnsi="Arial" w:cs="Arial"/>
          <w:color w:val="1A1A1A"/>
          <w:sz w:val="20"/>
          <w:szCs w:val="20"/>
        </w:rPr>
        <w:t>Maintained a 100% scorecard metric rating for 3 consecutive quarters.</w:t>
      </w:r>
    </w:p>
    <w:p>
      <w:pPr>
        <w:spacing w:before="240" w:after="60"/>
      </w:pPr>
      <w:r>
        <w:rPr>
          <w:rFonts w:ascii="Arial" w:eastAsia="Arial" w:hAnsi="Arial" w:cs="Arial"/>
          <w:b/>
          <w:bCs/>
          <w:color w:val="1A4F8A"/>
          <w:sz w:val="22"/>
          <w:szCs w:val="22"/>
        </w:rPr>
        <w:t>TECHNICAL SKILLS &amp; TOOLS</w:t>
      </w:r>
    </w:p>
    <w:p>
      <w:pPr>
        <w:pBdr>
          <w:bottom w:val="single" w:sz="10" w:space="2" w:color="2563A8"/>
        </w:pBdr>
        <w:spacing w:before="0" w:after="0"/>
      </w:pPr>
    </w:p>
    <w:p>
      <w:pPr>
        <w:spacing w:before="80" w:after="30"/>
      </w:pPr>
      <w:r>
        <w:rPr>
          <w:rFonts w:ascii="Arial" w:eastAsia="Arial" w:hAnsi="Arial" w:cs="Arial"/>
          <w:b/>
          <w:bCs/>
          <w:color w:val="1A1A1A"/>
          <w:sz w:val="20"/>
          <w:szCs w:val="20"/>
        </w:rPr>
        <w:t xml:space="preserve">ITSM Platforms: </w:t>
      </w:r>
      <w:r>
        <w:rPr>
          <w:rFonts w:ascii="Arial" w:eastAsia="Arial" w:hAnsi="Arial" w:cs="Arial"/>
          <w:color w:val="1A1A1A"/>
          <w:sz w:val="20"/>
          <w:szCs w:val="20"/>
        </w:rPr>
        <w:t>ServiceNow (Incident, Problem &amp; Change Management modules)</w:t>
      </w:r>
    </w:p>
    <w:p>
      <w:pPr>
        <w:spacing w:before="0" w:after="30"/>
      </w:pPr>
      <w:r>
        <w:rPr>
          <w:rFonts w:ascii="Arial" w:eastAsia="Arial" w:hAnsi="Arial" w:cs="Arial"/>
          <w:b/>
          <w:bCs/>
          <w:color w:val="1A1A1A"/>
          <w:sz w:val="20"/>
          <w:szCs w:val="20"/>
        </w:rPr>
        <w:t xml:space="preserve">Productivity: </w:t>
      </w:r>
      <w:r>
        <w:rPr>
          <w:rFonts w:ascii="Arial" w:eastAsia="Arial" w:hAnsi="Arial" w:cs="Arial"/>
          <w:color w:val="1A1A1A"/>
          <w:sz w:val="20"/>
          <w:szCs w:val="20"/>
        </w:rPr>
        <w:t>Microsoft Excel, Microsoft Office Suite, Microsoft PowerPoint</w:t>
      </w:r>
    </w:p>
    <w:p>
      <w:pPr>
        <w:spacing w:before="0" w:after="60"/>
      </w:pPr>
      <w:r>
        <w:rPr>
          <w:rFonts w:ascii="Arial" w:eastAsia="Arial" w:hAnsi="Arial" w:cs="Arial"/>
          <w:b/>
          <w:bCs/>
          <w:color w:val="1A1A1A"/>
          <w:sz w:val="20"/>
          <w:szCs w:val="20"/>
        </w:rPr>
        <w:t xml:space="preserve">Technical: </w:t>
      </w:r>
      <w:r>
        <w:rPr>
          <w:rFonts w:ascii="Arial" w:eastAsia="Arial" w:hAnsi="Arial" w:cs="Arial"/>
          <w:color w:val="1A1A1A"/>
          <w:sz w:val="20"/>
          <w:szCs w:val="20"/>
        </w:rPr>
        <w:t>SQL, HTML, Basic IT Infrastructure &amp; Networking Knowledge</w:t>
      </w:r>
    </w:p>
    <w:p>
      <w:pPr>
        <w:spacing w:before="240" w:after="60"/>
      </w:pPr>
      <w:r>
        <w:rPr>
          <w:rFonts w:ascii="Arial" w:eastAsia="Arial" w:hAnsi="Arial" w:cs="Arial"/>
          <w:b/>
          <w:bCs/>
          <w:color w:val="1A4F8A"/>
          <w:sz w:val="22"/>
          <w:szCs w:val="22"/>
        </w:rPr>
        <w:t>EDUCATION</w:t>
      </w:r>
    </w:p>
    <w:p>
      <w:pPr>
        <w:pBdr>
          <w:bottom w:val="single" w:sz="10" w:space="2" w:color="2563A8"/>
        </w:pBdr>
        <w:spacing w:before="0" w:after="0"/>
      </w:pPr>
    </w:p>
    <w:p>
      <w:pPr>
        <w:tabs>
          <w:tab w:val="right" w:pos="9360"/>
        </w:tabs>
        <w:spacing w:before="80" w:after="10"/>
      </w:pPr>
      <w:r>
        <w:rPr>
          <w:rFonts w:ascii="Arial" w:eastAsia="Arial" w:hAnsi="Arial" w:cs="Arial"/>
          <w:b/>
          <w:bCs/>
          <w:color w:val="1A1A1A"/>
          <w:sz w:val="20"/>
          <w:szCs w:val="20"/>
        </w:rPr>
        <w:t>B.Tech – Mechanical Engineering</w:t>
      </w:r>
      <w:r>
        <w:tab/>
      </w:r>
      <w:r>
        <w:rPr>
          <w:rFonts w:ascii="Arial" w:eastAsia="Arial" w:hAnsi="Arial" w:cs="Arial"/>
          <w:i/>
          <w:iCs/>
          <w:color w:val="999999"/>
          <w:sz w:val="19"/>
          <w:szCs w:val="19"/>
        </w:rPr>
        <w:t>2012 – 2016</w:t>
      </w:r>
    </w:p>
    <w:p>
      <w:pPr>
        <w:spacing w:before="0" w:after="80"/>
      </w:pPr>
      <w:r>
        <w:rPr>
          <w:rFonts w:ascii="Arial" w:eastAsia="Arial" w:hAnsi="Arial" w:cs="Arial"/>
          <w:color w:val="666666"/>
          <w:sz w:val="20"/>
          <w:szCs w:val="20"/>
        </w:rPr>
        <w:t>Mahatma Gandhi Institute of Technology (JNTU-H), Hyderabad</w:t>
      </w:r>
    </w:p>
    <w:p>
      <w:pPr>
        <w:spacing w:before="240" w:after="60"/>
      </w:pPr>
      <w:r>
        <w:rPr>
          <w:rFonts w:ascii="Arial" w:eastAsia="Arial" w:hAnsi="Arial" w:cs="Arial"/>
          <w:b/>
          <w:bCs/>
          <w:color w:val="1A4F8A"/>
          <w:sz w:val="22"/>
          <w:szCs w:val="22"/>
        </w:rPr>
        <w:t>CERTIFICATIONS &amp; COURSES</w:t>
      </w:r>
    </w:p>
    <w:p>
      <w:pPr>
        <w:pBdr>
          <w:bottom w:val="single" w:sz="10" w:space="2" w:color="2563A8"/>
        </w:pBdr>
        <w:spacing w:before="0" w:after="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  <w:sz w:val="20"/>
          <w:szCs w:val="20"/>
        </w:rPr>
        <w:t>ITIL 4 Foundation – In Progress / Recommended (critical for Incident Manager roles)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  <w:sz w:val="20"/>
          <w:szCs w:val="20"/>
        </w:rPr>
        <w:t>Complete Digital Marketing Course – Udemy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  <w:sz w:val="20"/>
          <w:szCs w:val="20"/>
        </w:rPr>
        <w:t>SQL and HTML – Self-directed coursework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  <w:sz w:val="20"/>
          <w:szCs w:val="20"/>
        </w:rPr>
        <w:t>CATIA V5 Designing – Design Tech</w:t>
      </w:r>
    </w:p>
    <w:p>
      <w:pPr>
        <w:spacing w:before="240" w:after="60"/>
      </w:pPr>
      <w:r>
        <w:rPr>
          <w:rFonts w:ascii="Arial" w:eastAsia="Arial" w:hAnsi="Arial" w:cs="Arial"/>
          <w:b/>
          <w:bCs/>
          <w:color w:val="1A4F8A"/>
          <w:sz w:val="22"/>
          <w:szCs w:val="22"/>
        </w:rPr>
        <w:t>LANGUAGES</w:t>
      </w:r>
    </w:p>
    <w:p>
      <w:pPr>
        <w:pBdr>
          <w:bottom w:val="single" w:sz="10" w:space="2" w:color="2563A8"/>
        </w:pBdr>
        <w:spacing w:before="0" w:after="0"/>
      </w:pPr>
    </w:p>
    <w:p>
      <w:pPr>
        <w:spacing w:before="80" w:after="60"/>
      </w:pPr>
      <w:r>
        <w:rPr>
          <w:rFonts w:ascii="Arial" w:eastAsia="Arial" w:hAnsi="Arial" w:cs="Arial"/>
          <w:color w:val="1A1A1A"/>
          <w:sz w:val="20"/>
          <w:szCs w:val="20"/>
        </w:rPr>
        <w:t>English (Professional)  •  Telugu (Native)  •  Hindi (Conversational)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 w:orient="portrait"/>
      <w:pgMar w:top="1008" w:right="1260" w:bottom="1008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85940F5"/>
    <w:multiLevelType w:val="hybridMultilevel"/>
    <w:tmpl w:val="00000000"/>
    <w:lvl w:ilvl="0" w:tentative="1">
      <w:start w:val="1"/>
      <w:numFmt w:val="bullet"/>
      <w:lvlText w:val="•"/>
      <w:lvlJc w:val="left"/>
      <w:pPr>
        <w:ind w:left="420" w:hanging="24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6B3E61F2"/>
    <w:multiLevelType w:val="hybridMultilevel"/>
    <w:tmpl w:val="000000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1A1A1A"/>
        <w:sz w:val="20"/>
        <w:szCs w:val="20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Heading1">
    <w:name w:val="Heading 1"/>
    <w:qFormat/>
    <w:rPr>
      <w:color w:val="2E74B5"/>
      <w:sz w:val="32"/>
      <w:szCs w:val="32"/>
    </w:rPr>
  </w:style>
  <w:style w:type="paragraph" w:customStyle="1" w:styleId="Heading2">
    <w:name w:val="Heading 2"/>
    <w:qFormat/>
    <w:rPr>
      <w:color w:val="2E74B5"/>
      <w:sz w:val="26"/>
      <w:szCs w:val="26"/>
    </w:rPr>
  </w:style>
  <w:style w:type="paragraph" w:customStyle="1" w:styleId="Heading3">
    <w:name w:val="Heading 3"/>
    <w:qFormat/>
    <w:rPr>
      <w:color w:val="1F4D78"/>
      <w:sz w:val="24"/>
      <w:szCs w:val="24"/>
    </w:rPr>
  </w:style>
  <w:style w:type="paragraph" w:customStyle="1" w:styleId="Heading4">
    <w:name w:val="Heading 4"/>
    <w:qFormat/>
    <w:rPr>
      <w:i/>
      <w:iCs/>
      <w:color w:val="2E74B5"/>
    </w:rPr>
  </w:style>
  <w:style w:type="paragraph" w:customStyle="1" w:styleId="Heading5">
    <w:name w:val="Heading 5"/>
    <w:qFormat/>
    <w:rPr>
      <w:color w:val="2E74B5"/>
    </w:rPr>
  </w:style>
  <w:style w:type="paragraph" w:customStyle="1" w:styleId="Heading6">
    <w:name w:val="Heading 6"/>
    <w:qFormat/>
    <w:rPr>
      <w:color w:val="1F4D78"/>
    </w:rPr>
  </w:style>
  <w:style w:type="paragraph" w:styleId="Strong">
    <w:name w:val="Strong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6da0ea5e6ae23518ea80d9534d4c63cf134f4b0419514c4847440321091b5b58120b140610485e5f08435601514841481f0f2b561358191b195115495d0c00584e4209430247460c590858184508105042445b0c0f054e4108120211474a411b02154e49405d58380c4f0343421b0015061953444f530e18705c4458440321091b5b581209100719455f5c0e4356014a4857034b4a550f594b110d170b17474a106&amp;docType=docx" TargetMode="Externa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2026-03-30T11:01:08Z</dcterms:created>
  <dcterms:modified xsi:type="dcterms:W3CDTF">2026-03-30T11:01:08Z</dcterms:modified>
</cp:coreProperties>
</file>