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tbl>
      <w:tblPr>
        <w:tblW w:w="96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820"/>
        <w:gridCol w:w="4820"/>
      </w:tblGrid>
      <w:tr>
        <w:tblPrEx>
          <w:tblW w:w="9640" w:type="dxa"/>
          <w:tblInd w:w="108" w:type="dxa"/>
          <w:tbl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  <w:insideH w:val="single" w:sz="8" w:space="0" w:color="FFFFFF"/>
            <w:insideV w:val="single" w:sz="8" w:space="0" w:color="FFFFFF"/>
          </w:tblBorders>
          <w:shd w:val="clear" w:color="auto" w:fill="CED7E7"/>
          <w:tblLayout w:type="fixed"/>
          <w:tblLook w:val="04A0"/>
        </w:tblPrEx>
        <w:trPr>
          <w:trHeight w:val="160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2942"/>
            <w:tcMar>
              <w:top w:w="80" w:type="dxa"/>
              <w:left w:w="307" w:type="dxa"/>
              <w:bottom w:w="80" w:type="dxa"/>
              <w:right w:w="80" w:type="dxa"/>
            </w:tcMar>
            <w:vAlign w:val="center"/>
          </w:tcPr>
          <w:p w:rsidR="000A31FF">
            <w:pPr>
              <w:pStyle w:val="Body"/>
              <w:spacing w:before="200" w:after="40"/>
              <w:ind w:left="227"/>
              <w:rPr>
                <w:color w:val="FFFFFF"/>
                <w:u w:color="FFFFFF"/>
              </w:rPr>
            </w:pPr>
            <w:r>
              <w:rPr>
                <w:rFonts w:ascii="Calibri" w:hAnsi="Calibri"/>
                <w:b/>
                <w:bCs/>
                <w:color w:val="FFFFFF"/>
                <w:sz w:val="44"/>
                <w:szCs w:val="44"/>
                <w:u w:color="FFFFFF"/>
              </w:rPr>
              <w:t>NAMRATA SINGH</w:t>
            </w:r>
          </w:p>
          <w:p w:rsidR="000A31FF">
            <w:pPr>
              <w:pStyle w:val="Body"/>
              <w:spacing w:line="240" w:lineRule="auto"/>
              <w:ind w:left="227"/>
            </w:pPr>
            <w:r>
              <w:rPr>
                <w:rFonts w:ascii="Calibri" w:hAnsi="Calibri"/>
                <w:i/>
                <w:iCs/>
                <w:color w:val="CCCCCC"/>
                <w:sz w:val="18"/>
                <w:szCs w:val="18"/>
                <w:u w:color="CCCCCC"/>
              </w:rPr>
              <w:t xml:space="preserve">Solution Architect </w:t>
            </w:r>
            <w:r w:rsidR="00063310">
              <w:rPr>
                <w:rFonts w:ascii="Calibri" w:hAnsi="Calibri"/>
                <w:i/>
                <w:iCs/>
                <w:color w:val="CCCCCC"/>
                <w:sz w:val="18"/>
                <w:szCs w:val="18"/>
                <w:u w:color="CCCCCC"/>
              </w:rPr>
              <w:t>at</w:t>
            </w:r>
            <w:r w:rsidR="00BB1152">
              <w:rPr>
                <w:rFonts w:ascii="Calibri" w:hAnsi="Calibri"/>
                <w:i/>
                <w:iCs/>
                <w:color w:val="CCCCCC"/>
                <w:sz w:val="18"/>
                <w:szCs w:val="18"/>
                <w:u w:color="CCCCCC"/>
              </w:rPr>
              <w:t xml:space="preserve"> </w:t>
            </w:r>
            <w:r w:rsidR="00E04E1D">
              <w:rPr>
                <w:rFonts w:ascii="Calibri" w:hAnsi="Calibri"/>
                <w:i/>
                <w:iCs/>
                <w:color w:val="CCCCCC"/>
                <w:sz w:val="18"/>
                <w:szCs w:val="18"/>
                <w:u w:color="CCCCCC"/>
              </w:rPr>
              <w:t xml:space="preserve">Deloitte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2942"/>
            <w:tcMar>
              <w:top w:w="80" w:type="dxa"/>
              <w:left w:w="250" w:type="dxa"/>
              <w:bottom w:w="80" w:type="dxa"/>
              <w:right w:w="80" w:type="dxa"/>
            </w:tcMar>
            <w:vAlign w:val="center"/>
          </w:tcPr>
          <w:p w:rsidR="000A31FF">
            <w:pPr>
              <w:pStyle w:val="Body"/>
              <w:spacing w:before="160" w:after="0" w:line="240" w:lineRule="auto"/>
              <w:ind w:left="170"/>
              <w:rPr>
                <w:color w:val="FFFFFF"/>
                <w:u w:color="FFFFFF"/>
              </w:rPr>
            </w:pPr>
            <w:r>
              <w:rPr>
                <w:rFonts w:ascii="Arial Unicode MS" w:hAnsi="Arial Unicode MS" w:hint="eastAsia"/>
                <w:color w:val="C9A84C"/>
                <w:sz w:val="18"/>
                <w:szCs w:val="18"/>
                <w:u w:color="C9A84C"/>
              </w:rPr>
              <w:t>📧</w:t>
            </w:r>
            <w:r>
              <w:rPr>
                <w:rFonts w:ascii="Calibri" w:hAnsi="Calibri"/>
                <w:color w:val="E0E8F0"/>
                <w:sz w:val="18"/>
                <w:szCs w:val="18"/>
                <w:u w:color="E0E8F0"/>
              </w:rPr>
              <w:t>namrata2085@gmail.com</w:t>
            </w:r>
          </w:p>
          <w:p w:rsidR="000A31FF">
            <w:pPr>
              <w:pStyle w:val="Body"/>
              <w:spacing w:before="60" w:after="0" w:line="240" w:lineRule="auto"/>
              <w:ind w:left="170"/>
              <w:rPr>
                <w:color w:val="FFFFFF"/>
                <w:u w:color="FFFFFF"/>
              </w:rPr>
            </w:pPr>
            <w:r>
              <w:rPr>
                <w:rFonts w:ascii="Arial Unicode MS" w:hAnsi="Arial Unicode MS" w:hint="eastAsia"/>
                <w:color w:val="C9A84C"/>
                <w:sz w:val="18"/>
                <w:szCs w:val="18"/>
                <w:u w:color="C9A84C"/>
              </w:rPr>
              <w:t>🔗</w:t>
            </w:r>
            <w:r>
              <w:rPr>
                <w:rFonts w:ascii="Calibri" w:hAnsi="Calibri"/>
                <w:color w:val="E0E8F0"/>
                <w:sz w:val="18"/>
                <w:szCs w:val="18"/>
                <w:u w:color="E0E8F0"/>
              </w:rPr>
              <w:t>linkedin.com/in/namratasingh-b477b7179</w:t>
            </w:r>
          </w:p>
          <w:p w:rsidR="000A31FF">
            <w:pPr>
              <w:pStyle w:val="Body"/>
              <w:spacing w:before="60" w:after="0" w:line="240" w:lineRule="auto"/>
              <w:ind w:left="170"/>
              <w:rPr>
                <w:color w:val="FFFFFF"/>
                <w:u w:color="FFFFFF"/>
              </w:rPr>
            </w:pPr>
            <w:r>
              <w:rPr>
                <w:rFonts w:ascii="Arial Unicode MS" w:hAnsi="Arial Unicode MS" w:hint="eastAsia"/>
                <w:color w:val="C9A84C"/>
                <w:sz w:val="18"/>
                <w:szCs w:val="18"/>
                <w:u w:color="C9A84C"/>
              </w:rPr>
              <w:t>📍</w:t>
            </w:r>
            <w:r>
              <w:rPr>
                <w:rFonts w:ascii="Calibri" w:hAnsi="Calibri"/>
                <w:color w:val="E0E8F0"/>
                <w:sz w:val="18"/>
                <w:szCs w:val="18"/>
                <w:u w:color="E0E8F0"/>
              </w:rPr>
              <w:t xml:space="preserve">Pune, </w:t>
            </w:r>
            <w:r w:rsidR="00E04E1D">
              <w:rPr>
                <w:rFonts w:ascii="Calibri" w:hAnsi="Calibri"/>
                <w:color w:val="E0E8F0"/>
                <w:sz w:val="18"/>
                <w:szCs w:val="18"/>
                <w:u w:color="E0E8F0"/>
              </w:rPr>
              <w:t>India |</w:t>
            </w:r>
          </w:p>
          <w:p w:rsidR="000A31FF">
            <w:pPr>
              <w:pStyle w:val="Body"/>
              <w:spacing w:before="60" w:after="0" w:line="240" w:lineRule="auto"/>
              <w:ind w:left="170"/>
            </w:pPr>
            <w:r w:rsidRPr="00F40681">
              <w:rPr>
                <w:rFonts w:ascii="Segoe UI Emoji" w:hAnsi="Segoe UI Emoji" w:cs="Segoe UI Emoji"/>
              </w:rPr>
              <w:t>📞</w:t>
            </w:r>
            <w:r w:rsidRPr="00F40681">
              <w:rPr>
                <w:color w:val="FFFFFF" w:themeColor="background1"/>
              </w:rPr>
              <w:t>+</w:t>
            </w:r>
            <w:r w:rsidRPr="00F40681">
              <w:rPr>
                <w:rFonts w:ascii="Calibri" w:hAnsi="Calibri"/>
                <w:color w:val="E0E8F0"/>
                <w:sz w:val="18"/>
                <w:szCs w:val="18"/>
                <w:u w:color="E0E8F0"/>
              </w:rPr>
              <w:t>91 8763220826</w:t>
            </w:r>
          </w:p>
        </w:tc>
      </w:tr>
    </w:tbl>
    <w:p w:rsidR="000A31FF">
      <w:pPr>
        <w:pStyle w:val="Body"/>
        <w:widowControl w:val="0"/>
        <w:spacing w:line="240" w:lineRule="auto"/>
      </w:pPr>
    </w:p>
    <w:p w:rsidR="000A31FF">
      <w:pPr>
        <w:pStyle w:val="Body"/>
        <w:spacing w:after="80"/>
      </w:pPr>
    </w:p>
    <w:p w:rsidR="000A31FF">
      <w:pPr>
        <w:pStyle w:val="Body"/>
        <w:pBdr>
          <w:bottom w:val="single" w:sz="8" w:space="0" w:color="006494"/>
        </w:pBdr>
        <w:spacing w:before="200" w:after="40"/>
      </w:pPr>
      <w:r>
        <w:rPr>
          <w:rFonts w:ascii="Calibri" w:hAnsi="Calibri"/>
          <w:b/>
          <w:bCs/>
          <w:color w:val="006494"/>
          <w:u w:color="006494"/>
          <w:lang w:val="de-DE"/>
        </w:rPr>
        <w:t>PROFESSIONAL SUMMARY</w:t>
      </w:r>
    </w:p>
    <w:p w:rsidR="000A31FF" w:rsidRPr="006409C8" w:rsidP="006409C8">
      <w:pPr>
        <w:pStyle w:val="ListParagraph"/>
        <w:numPr>
          <w:ilvl w:val="0"/>
          <w:numId w:val="2"/>
        </w:numPr>
        <w:spacing w:before="80" w:after="80"/>
        <w:jc w:val="both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 xml:space="preserve">Senior SAP Consultant and Solution Architect with 7+ years of experience </w:t>
      </w:r>
      <w:r w:rsidR="00E04E1D">
        <w:rPr>
          <w:rFonts w:ascii="Calibri" w:hAnsi="Calibri"/>
          <w:sz w:val="19"/>
          <w:szCs w:val="19"/>
        </w:rPr>
        <w:t>specializing</w:t>
      </w:r>
      <w:r>
        <w:rPr>
          <w:rFonts w:ascii="Calibri" w:hAnsi="Calibri"/>
          <w:sz w:val="19"/>
          <w:szCs w:val="19"/>
        </w:rPr>
        <w:t xml:space="preserve"> in SAP FICO, SAP DRC (Document and Reporting Compliance), e-Invoicing, and full-cycle S/4HANA implementations across EMEA, APAC, and the US. Currently at Deloitte USI, leading architectural design and multi-country rollouts of SAP DRC solutions — covering VAT reporting, EC Sales, Withholding Tax, and statutory e-Invoicing compliance for global clients including Mitsubishi Chemical Group, Morgan Stanley Capital International, </w:t>
      </w:r>
      <w:r w:rsidR="005217AF">
        <w:rPr>
          <w:rFonts w:ascii="Calibri" w:hAnsi="Calibri"/>
          <w:sz w:val="19"/>
          <w:szCs w:val="19"/>
        </w:rPr>
        <w:t xml:space="preserve">Johnson Control </w:t>
      </w:r>
      <w:r>
        <w:rPr>
          <w:rFonts w:ascii="Calibri" w:hAnsi="Calibri"/>
          <w:sz w:val="19"/>
          <w:szCs w:val="19"/>
        </w:rPr>
        <w:t xml:space="preserve">and UiPath. </w:t>
      </w:r>
      <w:r w:rsidR="00860A50">
        <w:rPr>
          <w:rFonts w:ascii="Calibri" w:hAnsi="Calibri"/>
          <w:sz w:val="19"/>
          <w:szCs w:val="19"/>
        </w:rPr>
        <w:t>E</w:t>
      </w:r>
      <w:r>
        <w:rPr>
          <w:rFonts w:ascii="Calibri" w:hAnsi="Calibri"/>
          <w:sz w:val="19"/>
          <w:szCs w:val="19"/>
        </w:rPr>
        <w:t xml:space="preserve">xpertise in </w:t>
      </w:r>
      <w:r w:rsidR="00316CAD">
        <w:rPr>
          <w:rFonts w:ascii="Calibri" w:hAnsi="Calibri"/>
          <w:sz w:val="19"/>
          <w:szCs w:val="19"/>
        </w:rPr>
        <w:t>Electronic Invoicing</w:t>
      </w:r>
      <w:r>
        <w:rPr>
          <w:rFonts w:ascii="Calibri" w:hAnsi="Calibri"/>
          <w:sz w:val="19"/>
          <w:szCs w:val="19"/>
        </w:rPr>
        <w:t xml:space="preserve"> frameworks including Germany (ZUGFeRD/XRechnung), France (</w:t>
      </w:r>
      <w:r w:rsidR="00316CAD">
        <w:rPr>
          <w:rFonts w:ascii="Calibri" w:hAnsi="Calibri"/>
          <w:sz w:val="19"/>
          <w:szCs w:val="19"/>
        </w:rPr>
        <w:t>FacturX</w:t>
      </w:r>
      <w:r>
        <w:rPr>
          <w:rFonts w:ascii="Calibri" w:hAnsi="Calibri"/>
          <w:sz w:val="19"/>
          <w:szCs w:val="19"/>
        </w:rPr>
        <w:t>), SAF-T (Norway, Poland &amp; Romania), Brazil (J1BTAX/Nota Fiscal), and US 1099 compliance.</w:t>
      </w:r>
    </w:p>
    <w:p w:rsidR="000A31FF">
      <w:pPr>
        <w:pStyle w:val="Body"/>
        <w:spacing w:after="120"/>
      </w:pPr>
    </w:p>
    <w:p w:rsidR="000A31FF">
      <w:pPr>
        <w:pStyle w:val="Body"/>
        <w:pBdr>
          <w:bottom w:val="single" w:sz="8" w:space="0" w:color="006494"/>
        </w:pBdr>
        <w:spacing w:before="200" w:after="40"/>
      </w:pPr>
      <w:r>
        <w:rPr>
          <w:rFonts w:ascii="Calibri" w:hAnsi="Calibri"/>
          <w:b/>
          <w:bCs/>
          <w:color w:val="006494"/>
          <w:u w:color="006494"/>
          <w:lang w:val="de-DE"/>
        </w:rPr>
        <w:t>PROFESSIONAL EXPERIENCE</w:t>
      </w:r>
    </w:p>
    <w:p w:rsidR="000A31FF">
      <w:pPr>
        <w:pStyle w:val="Body"/>
        <w:spacing w:before="120" w:after="20"/>
      </w:pPr>
      <w:r>
        <w:rPr>
          <w:rFonts w:ascii="Calibri" w:hAnsi="Calibri"/>
          <w:b/>
          <w:bCs/>
          <w:color w:val="0F2942"/>
          <w:sz w:val="21"/>
          <w:szCs w:val="21"/>
          <w:u w:color="0F2942"/>
        </w:rPr>
        <w:t>Senior SAP Consultant</w:t>
      </w:r>
    </w:p>
    <w:p w:rsidR="000A31FF">
      <w:pPr>
        <w:pStyle w:val="Body"/>
        <w:spacing w:after="20"/>
      </w:pPr>
      <w:r>
        <w:rPr>
          <w:rFonts w:ascii="Calibri" w:hAnsi="Calibri"/>
          <w:color w:val="006494"/>
          <w:sz w:val="19"/>
          <w:szCs w:val="19"/>
          <w:u w:color="006494"/>
        </w:rPr>
        <w:t xml:space="preserve">Deloitte USI (Office of the </w:t>
      </w:r>
      <w:r w:rsidR="006409C8">
        <w:rPr>
          <w:rFonts w:ascii="Calibri" w:hAnsi="Calibri"/>
          <w:color w:val="006494"/>
          <w:sz w:val="19"/>
          <w:szCs w:val="19"/>
          <w:u w:color="006494"/>
        </w:rPr>
        <w:t>US)</w:t>
      </w:r>
      <w:r w:rsidR="006409C8">
        <w:rPr>
          <w:rFonts w:ascii="Calibri" w:hAnsi="Calibri"/>
          <w:color w:val="555555"/>
          <w:sz w:val="19"/>
          <w:szCs w:val="19"/>
          <w:u w:color="555555"/>
        </w:rPr>
        <w:t xml:space="preserve"> |</w:t>
      </w:r>
      <w:r>
        <w:rPr>
          <w:rFonts w:ascii="Calibri" w:hAnsi="Calibri"/>
          <w:i/>
          <w:iCs/>
          <w:color w:val="555555"/>
          <w:sz w:val="19"/>
          <w:szCs w:val="19"/>
          <w:u w:color="555555"/>
          <w:lang w:val="it-IT"/>
        </w:rPr>
        <w:t xml:space="preserve">April 2024 </w:t>
      </w:r>
      <w:r>
        <w:rPr>
          <w:rFonts w:ascii="Calibri" w:hAnsi="Calibri"/>
          <w:i/>
          <w:iCs/>
          <w:color w:val="555555"/>
          <w:sz w:val="19"/>
          <w:szCs w:val="19"/>
          <w:u w:color="555555"/>
        </w:rPr>
        <w:t xml:space="preserve">– </w:t>
      </w:r>
      <w:r>
        <w:rPr>
          <w:rFonts w:ascii="Calibri" w:hAnsi="Calibri"/>
          <w:i/>
          <w:iCs/>
          <w:color w:val="555555"/>
          <w:sz w:val="19"/>
          <w:szCs w:val="19"/>
          <w:u w:color="555555"/>
          <w:lang w:val="it-IT"/>
        </w:rPr>
        <w:t>Present</w:t>
      </w:r>
    </w:p>
    <w:p w:rsidR="000A31FF">
      <w:pPr>
        <w:pStyle w:val="Body"/>
        <w:spacing w:before="60" w:after="20"/>
      </w:pPr>
      <w:r>
        <w:rPr>
          <w:rFonts w:ascii="Arial Unicode MS" w:hAnsi="Arial Unicode MS"/>
          <w:color w:val="C9A84C"/>
          <w:sz w:val="19"/>
          <w:szCs w:val="19"/>
          <w:u w:color="C9A84C"/>
        </w:rPr>
        <w:t>▸</w:t>
      </w:r>
      <w:r>
        <w:rPr>
          <w:rFonts w:ascii="Calibri" w:hAnsi="Calibri"/>
          <w:b/>
          <w:bCs/>
          <w:color w:val="C9A84C"/>
          <w:sz w:val="19"/>
          <w:szCs w:val="19"/>
          <w:u w:color="C9A84C"/>
        </w:rPr>
        <w:t xml:space="preserve"> Client: Mitsubishi Chemical Group</w:t>
      </w:r>
      <w:r w:rsidR="00BB1152">
        <w:rPr>
          <w:rFonts w:ascii="Calibri" w:hAnsi="Calibri"/>
          <w:b/>
          <w:bCs/>
          <w:color w:val="C9A84C"/>
          <w:sz w:val="19"/>
          <w:szCs w:val="19"/>
          <w:u w:color="C9A84C"/>
        </w:rPr>
        <w:t xml:space="preserve"> (SAP S/4 2023 SP03)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Architected end-to-end SAP DRC solution for statutory reporting covering VAT, EC Sales, and Withholding Tax across multiple jurisdictions.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Led e-Invoicing rollouts in France, Germany, India, and Taiwan — ensuring compliance with country-specific legal mandates (FacturX, ZUGFeRD/XRechnung, GSTN, TurnKey).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Coordinated SAP BTP setup and BTP subaccount configuration for Germany, France, and India in collaboration with Basis teams.</w:t>
      </w:r>
    </w:p>
    <w:p w:rsidR="000A31FF" w:rsidRPr="00D93DBD" w:rsidP="00D93DBD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Managed Taiwan-specific requirements including installations and whitelisting of TurnKey Software for e-invoicing compliance.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Directed e-Reporting implementation for France, UK, and India — aligning outputs with local tax authority requirements.</w:t>
      </w:r>
    </w:p>
    <w:p w:rsidR="000A31FF">
      <w:pPr>
        <w:pStyle w:val="Body"/>
        <w:spacing w:after="40"/>
      </w:pPr>
    </w:p>
    <w:p w:rsidR="000A31FF">
      <w:pPr>
        <w:pStyle w:val="Body"/>
        <w:spacing w:before="20" w:after="20"/>
      </w:pPr>
      <w:r>
        <w:rPr>
          <w:rFonts w:ascii="Arial Unicode MS" w:hAnsi="Arial Unicode MS"/>
          <w:color w:val="C9A84C"/>
          <w:sz w:val="19"/>
          <w:szCs w:val="19"/>
          <w:u w:color="C9A84C"/>
        </w:rPr>
        <w:t>▸</w:t>
      </w:r>
      <w:r>
        <w:rPr>
          <w:rFonts w:ascii="Calibri" w:hAnsi="Calibri"/>
          <w:b/>
          <w:bCs/>
          <w:color w:val="C9A84C"/>
          <w:sz w:val="19"/>
          <w:szCs w:val="19"/>
          <w:u w:color="C9A84C"/>
        </w:rPr>
        <w:t xml:space="preserve"> Client: Morgan Stanley Capital </w:t>
      </w:r>
      <w:r w:rsidR="00AF01C3">
        <w:rPr>
          <w:rFonts w:ascii="Calibri" w:hAnsi="Calibri"/>
          <w:b/>
          <w:bCs/>
          <w:color w:val="C9A84C"/>
          <w:sz w:val="19"/>
          <w:szCs w:val="19"/>
          <w:u w:color="C9A84C"/>
        </w:rPr>
        <w:t>International (</w:t>
      </w:r>
      <w:r>
        <w:rPr>
          <w:rFonts w:ascii="Calibri" w:hAnsi="Calibri"/>
          <w:b/>
          <w:bCs/>
          <w:color w:val="C9A84C"/>
          <w:sz w:val="19"/>
          <w:szCs w:val="19"/>
          <w:u w:color="C9A84C"/>
        </w:rPr>
        <w:t>SAP ECC EHP8)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Conducted Fit-Gap Analysis for country-specific e-invoicing compliance across Germany, Sweden, and Finland.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Authored detailed process documentation and end-to-end checklists for e-Invoicing implementation, adopted as the project standard.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Drove SAP Notes implementation for the EDoc framework including country-specific legal notes and Application Interface Framework (AIF).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 xml:space="preserve">Performed BC Sets activation and regulatory-aligned e-Invoicing configuration for German, Sweden </w:t>
      </w:r>
      <w:r w:rsidR="00AF01C3">
        <w:rPr>
          <w:rFonts w:ascii="Calibri" w:hAnsi="Calibri"/>
          <w:sz w:val="19"/>
          <w:szCs w:val="19"/>
        </w:rPr>
        <w:t xml:space="preserve">and </w:t>
      </w:r>
      <w:r w:rsidR="00063310">
        <w:rPr>
          <w:rFonts w:ascii="Calibri" w:hAnsi="Calibri"/>
          <w:sz w:val="19"/>
          <w:szCs w:val="19"/>
        </w:rPr>
        <w:t>Finland.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Coordinated BTP subaccount creation and connectivity with the Basis team for seamless integration.</w:t>
      </w:r>
    </w:p>
    <w:p w:rsidR="000A31FF">
      <w:pPr>
        <w:pStyle w:val="Body"/>
        <w:spacing w:after="40"/>
      </w:pPr>
    </w:p>
    <w:p w:rsidR="000A31FF">
      <w:pPr>
        <w:pStyle w:val="Body"/>
        <w:spacing w:before="20" w:after="20"/>
      </w:pPr>
      <w:r>
        <w:rPr>
          <w:rFonts w:ascii="Arial Unicode MS" w:hAnsi="Arial Unicode MS"/>
          <w:color w:val="C9A84C"/>
          <w:sz w:val="19"/>
          <w:szCs w:val="19"/>
          <w:u w:color="C9A84C"/>
        </w:rPr>
        <w:t>▸</w:t>
      </w:r>
      <w:r>
        <w:rPr>
          <w:rFonts w:ascii="Calibri" w:hAnsi="Calibri"/>
          <w:b/>
          <w:bCs/>
          <w:color w:val="C9A84C"/>
          <w:sz w:val="19"/>
          <w:szCs w:val="19"/>
          <w:u w:color="C9A84C"/>
        </w:rPr>
        <w:t xml:space="preserve"> Client: </w:t>
      </w:r>
      <w:r w:rsidR="00AF01C3">
        <w:rPr>
          <w:rFonts w:ascii="Calibri" w:hAnsi="Calibri"/>
          <w:b/>
          <w:bCs/>
          <w:color w:val="C9A84C"/>
          <w:sz w:val="19"/>
          <w:szCs w:val="19"/>
          <w:u w:color="C9A84C"/>
        </w:rPr>
        <w:t>UiPath (</w:t>
      </w:r>
      <w:r>
        <w:rPr>
          <w:rFonts w:ascii="Calibri" w:hAnsi="Calibri"/>
          <w:b/>
          <w:bCs/>
          <w:color w:val="C9A84C"/>
          <w:sz w:val="19"/>
          <w:szCs w:val="19"/>
          <w:u w:color="C9A84C"/>
        </w:rPr>
        <w:t>SAP S/4HANA 2023)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 xml:space="preserve">Led cross-functional team during Hypercare phase, resolving post-go-live issues and </w:t>
      </w:r>
      <w:r w:rsidR="00063310">
        <w:rPr>
          <w:rFonts w:ascii="Calibri" w:hAnsi="Calibri"/>
          <w:sz w:val="19"/>
          <w:szCs w:val="19"/>
        </w:rPr>
        <w:t>stabilizing</w:t>
      </w:r>
      <w:r>
        <w:rPr>
          <w:rFonts w:ascii="Calibri" w:hAnsi="Calibri"/>
          <w:sz w:val="19"/>
          <w:szCs w:val="19"/>
        </w:rPr>
        <w:t xml:space="preserve"> system performance.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Configured Withholding Tax for accounts payable and intra-group transactions across multiple entities.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Delivered SAF-T compliance for Norway and Romania, meeting local tax authority reporting standards.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Implemented Avalara for US tax, Stripe for customer invoice tax, and J1BTAX for Brazil VAT/WHT.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Managed RICEFW/interfaces and authored functional specifications for custom development objects.</w:t>
      </w:r>
    </w:p>
    <w:p w:rsidR="000A31FF" w:rsidRPr="00101788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 xml:space="preserve">Set up indirect </w:t>
      </w:r>
      <w:r w:rsidR="00063310">
        <w:rPr>
          <w:rFonts w:ascii="Calibri" w:hAnsi="Calibri"/>
          <w:sz w:val="19"/>
          <w:szCs w:val="19"/>
        </w:rPr>
        <w:t>tax</w:t>
      </w:r>
      <w:r>
        <w:rPr>
          <w:rFonts w:ascii="Calibri" w:hAnsi="Calibri"/>
          <w:sz w:val="19"/>
          <w:szCs w:val="19"/>
        </w:rPr>
        <w:t xml:space="preserve"> reporting (statutory) and US 1099 </w:t>
      </w:r>
      <w:r w:rsidR="00063310">
        <w:rPr>
          <w:rFonts w:ascii="Calibri" w:hAnsi="Calibri"/>
          <w:sz w:val="19"/>
          <w:szCs w:val="19"/>
        </w:rPr>
        <w:t>localization</w:t>
      </w:r>
      <w:r>
        <w:rPr>
          <w:rFonts w:ascii="Calibri" w:hAnsi="Calibri"/>
          <w:sz w:val="19"/>
          <w:szCs w:val="19"/>
        </w:rPr>
        <w:t xml:space="preserve"> reports for EMEA, APAC, and US regions.</w:t>
      </w:r>
    </w:p>
    <w:p w:rsidR="00101788" w:rsidP="00101788">
      <w:pPr>
        <w:pStyle w:val="ListBullet"/>
        <w:spacing w:after="40"/>
        <w:ind w:left="388"/>
        <w:rPr>
          <w:sz w:val="19"/>
          <w:szCs w:val="19"/>
        </w:rPr>
      </w:pPr>
    </w:p>
    <w:p w:rsidR="000A31FF">
      <w:pPr>
        <w:pStyle w:val="Body"/>
        <w:spacing w:before="120" w:after="20"/>
      </w:pPr>
      <w:r>
        <w:rPr>
          <w:rFonts w:ascii="Calibri" w:hAnsi="Calibri"/>
          <w:b/>
          <w:bCs/>
          <w:color w:val="0F2942"/>
          <w:sz w:val="21"/>
          <w:szCs w:val="21"/>
          <w:u w:color="0F2942"/>
          <w:lang w:val="nl-NL"/>
        </w:rPr>
        <w:t xml:space="preserve">SAP Specialist </w:t>
      </w:r>
      <w:r>
        <w:rPr>
          <w:rFonts w:ascii="Calibri" w:hAnsi="Calibri"/>
          <w:b/>
          <w:bCs/>
          <w:color w:val="0F2942"/>
          <w:sz w:val="21"/>
          <w:szCs w:val="21"/>
          <w:u w:color="0F2942"/>
        </w:rPr>
        <w:t>– Package Implementation (RTR)</w:t>
      </w:r>
    </w:p>
    <w:p w:rsidR="000A31FF">
      <w:pPr>
        <w:pStyle w:val="Body"/>
        <w:spacing w:after="20"/>
      </w:pPr>
      <w:r>
        <w:rPr>
          <w:rFonts w:ascii="Calibri" w:hAnsi="Calibri"/>
          <w:color w:val="006494"/>
          <w:sz w:val="19"/>
          <w:szCs w:val="19"/>
          <w:u w:color="006494"/>
        </w:rPr>
        <w:t xml:space="preserve">LTIMindtree (formerly </w:t>
      </w:r>
      <w:r w:rsidR="00101788">
        <w:rPr>
          <w:rFonts w:ascii="Calibri" w:hAnsi="Calibri"/>
          <w:color w:val="006494"/>
          <w:sz w:val="19"/>
          <w:szCs w:val="19"/>
          <w:u w:color="006494"/>
        </w:rPr>
        <w:t>LTI)</w:t>
      </w:r>
      <w:r w:rsidR="00101788">
        <w:rPr>
          <w:rFonts w:ascii="Calibri" w:hAnsi="Calibri"/>
          <w:color w:val="555555"/>
          <w:sz w:val="19"/>
          <w:szCs w:val="19"/>
          <w:u w:color="555555"/>
        </w:rPr>
        <w:t xml:space="preserve"> |</w:t>
      </w:r>
      <w:r>
        <w:rPr>
          <w:rFonts w:ascii="Calibri" w:hAnsi="Calibri"/>
          <w:i/>
          <w:iCs/>
          <w:color w:val="555555"/>
          <w:sz w:val="19"/>
          <w:szCs w:val="19"/>
          <w:u w:color="555555"/>
        </w:rPr>
        <w:t>August 2021 – March 2024</w:t>
      </w:r>
    </w:p>
    <w:p w:rsidR="000A31FF">
      <w:pPr>
        <w:pStyle w:val="Body"/>
        <w:spacing w:before="20" w:after="40"/>
      </w:pPr>
      <w:r>
        <w:rPr>
          <w:rFonts w:ascii="Arial Unicode MS" w:hAnsi="Arial Unicode MS"/>
          <w:color w:val="C9A84C"/>
          <w:sz w:val="19"/>
          <w:szCs w:val="19"/>
          <w:u w:color="C9A84C"/>
        </w:rPr>
        <w:t>▸</w:t>
      </w:r>
      <w:r>
        <w:rPr>
          <w:rFonts w:ascii="Calibri" w:hAnsi="Calibri"/>
          <w:b/>
          <w:bCs/>
          <w:color w:val="C9A84C"/>
          <w:sz w:val="19"/>
          <w:szCs w:val="19"/>
          <w:u w:color="C9A84C"/>
        </w:rPr>
        <w:t xml:space="preserve"> Client: Johnson Controls – SAP ECC to S/4HANA 1909 Rollout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Executed SAP ECC to S/4HANA 1909 rollout for a global industrial client, covering the full Record-to-Report (RTR) workstream.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Configured and managed New GL, AP, AR, Banking, DMEE (MT940 &amp; CAMT), and EBS for multi-country operations.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Handled digital invoicing correspondence for Mexico and India, ensuring country-specific legal compliance.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Worked with integrations including AIF, CONCUR, CPI, ARIBA, INTERFACTURA, LEGAL TRACKER, HFM, WORKDAY, VERTEX, and IDOC.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Collaborated with ABAP developers to design ADOBE forms meeting country-specific legal requirements; partnered with BI Consultant to create BW Reports.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Delivered Advanced Compliance Reporting, SAF-T, and DART Reporting for EMEA and APAC regions.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Successfully configured Accrual Engine (ACACTREE02) to allocate costs on pre-determined percentages.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 xml:space="preserve">Managed Tax </w:t>
      </w:r>
      <w:r w:rsidR="00063310">
        <w:rPr>
          <w:rFonts w:ascii="Calibri" w:hAnsi="Calibri"/>
          <w:sz w:val="19"/>
          <w:szCs w:val="19"/>
        </w:rPr>
        <w:t>Localization</w:t>
      </w:r>
      <w:r>
        <w:rPr>
          <w:rFonts w:ascii="Calibri" w:hAnsi="Calibri"/>
          <w:sz w:val="19"/>
          <w:szCs w:val="19"/>
        </w:rPr>
        <w:t xml:space="preserve"> reports (Standard &amp;</w:t>
      </w:r>
      <w:r w:rsidR="00063310">
        <w:rPr>
          <w:rFonts w:ascii="Calibri" w:hAnsi="Calibri"/>
          <w:sz w:val="19"/>
          <w:szCs w:val="19"/>
        </w:rPr>
        <w:t>Customized</w:t>
      </w:r>
      <w:r>
        <w:rPr>
          <w:rFonts w:ascii="Calibri" w:hAnsi="Calibri"/>
          <w:sz w:val="19"/>
          <w:szCs w:val="19"/>
        </w:rPr>
        <w:t>) for EMEA and APAC; also delivered US 1099 reporting.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 xml:space="preserve">Drove e-Invoicing processes for India and </w:t>
      </w:r>
      <w:r w:rsidR="00101788">
        <w:rPr>
          <w:rFonts w:ascii="Calibri" w:hAnsi="Calibri"/>
          <w:sz w:val="19"/>
          <w:szCs w:val="19"/>
        </w:rPr>
        <w:t>Mexico and</w:t>
      </w:r>
      <w:r>
        <w:rPr>
          <w:rFonts w:ascii="Calibri" w:hAnsi="Calibri"/>
          <w:sz w:val="19"/>
          <w:szCs w:val="19"/>
        </w:rPr>
        <w:t xml:space="preserve"> managed the Nota Fiscal process for Brazil.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 xml:space="preserve">Conducted Unit testing, UAT, and provided Hypercare support to business users post </w:t>
      </w:r>
      <w:r w:rsidR="00063310">
        <w:rPr>
          <w:rFonts w:ascii="Calibri" w:hAnsi="Calibri"/>
          <w:sz w:val="19"/>
          <w:szCs w:val="19"/>
        </w:rPr>
        <w:t>go live</w:t>
      </w:r>
      <w:r>
        <w:rPr>
          <w:rFonts w:ascii="Calibri" w:hAnsi="Calibri"/>
          <w:sz w:val="19"/>
          <w:szCs w:val="19"/>
        </w:rPr>
        <w:t>.</w:t>
      </w:r>
    </w:p>
    <w:p w:rsidR="000A31FF" w:rsidRPr="00D93DBD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Performed FUT/SIT/E2E testing using Panaya.</w:t>
      </w:r>
    </w:p>
    <w:p w:rsidR="00D93DBD" w:rsidP="00D93DBD">
      <w:pPr>
        <w:pStyle w:val="ListBullet"/>
        <w:spacing w:after="40"/>
        <w:ind w:left="388"/>
        <w:rPr>
          <w:sz w:val="19"/>
          <w:szCs w:val="19"/>
        </w:rPr>
      </w:pPr>
    </w:p>
    <w:p w:rsidR="000A31FF">
      <w:pPr>
        <w:pStyle w:val="Body"/>
        <w:spacing w:before="120" w:after="20"/>
      </w:pPr>
      <w:r>
        <w:rPr>
          <w:rFonts w:ascii="Calibri" w:hAnsi="Calibri"/>
          <w:b/>
          <w:bCs/>
          <w:color w:val="0F2942"/>
          <w:sz w:val="21"/>
          <w:szCs w:val="21"/>
          <w:u w:color="0F2942"/>
          <w:lang w:val="pt-PT"/>
        </w:rPr>
        <w:t>Senior SAP S/4HANA FICO Consultant</w:t>
      </w:r>
    </w:p>
    <w:p w:rsidR="000A31FF">
      <w:pPr>
        <w:pStyle w:val="Body"/>
        <w:spacing w:after="20"/>
      </w:pPr>
      <w:r>
        <w:rPr>
          <w:rFonts w:ascii="Calibri" w:hAnsi="Calibri"/>
          <w:color w:val="006494"/>
          <w:sz w:val="19"/>
          <w:szCs w:val="19"/>
          <w:u w:color="006494"/>
          <w:lang w:val="it-IT"/>
        </w:rPr>
        <w:t>Quess Corp Limited</w:t>
      </w:r>
      <w:r>
        <w:rPr>
          <w:rFonts w:ascii="Calibri" w:hAnsi="Calibri"/>
          <w:color w:val="555555"/>
          <w:sz w:val="19"/>
          <w:szCs w:val="19"/>
          <w:u w:color="555555"/>
        </w:rPr>
        <w:t xml:space="preserve">   |   </w:t>
      </w:r>
      <w:r>
        <w:rPr>
          <w:rFonts w:ascii="Calibri" w:hAnsi="Calibri"/>
          <w:i/>
          <w:iCs/>
          <w:color w:val="555555"/>
          <w:sz w:val="19"/>
          <w:szCs w:val="19"/>
          <w:u w:color="555555"/>
        </w:rPr>
        <w:t>January 2021 – August 2021</w:t>
      </w:r>
    </w:p>
    <w:p w:rsidR="000A31FF">
      <w:pPr>
        <w:pStyle w:val="Body"/>
        <w:spacing w:before="20" w:after="40"/>
      </w:pPr>
      <w:r>
        <w:rPr>
          <w:rFonts w:ascii="Arial Unicode MS" w:hAnsi="Arial Unicode MS"/>
          <w:color w:val="C9A84C"/>
          <w:sz w:val="19"/>
          <w:szCs w:val="19"/>
          <w:u w:color="C9A84C"/>
        </w:rPr>
        <w:t>▸</w:t>
      </w:r>
      <w:r>
        <w:rPr>
          <w:rFonts w:ascii="Calibri" w:hAnsi="Calibri"/>
          <w:b/>
          <w:bCs/>
          <w:color w:val="C9A84C"/>
          <w:sz w:val="19"/>
          <w:szCs w:val="19"/>
          <w:u w:color="C9A84C"/>
        </w:rPr>
        <w:t xml:space="preserve"> Client: Honeywell – Oracle to SAP S/4HANA Migration (APAC)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Delivered SAP deployment from Oracle to SAP S/4HANA for APAC region, covering end-to-end FICO configuration.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Validated data in HP-ALM for GL, AP, AR, Asset, and FI Reports, ensuring data integrity across migration streams.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Configured RA Key and set up WIP for COPA Settlement.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Implemented Account-Based COPA and Costing-Based COPA; rigorously tested data flow from FI to CO and SD to CO.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Configured Withholding Tax (India) for vendors and customers; managed open AP/AR and GR/IR clearing uploads.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Defined custom program specifications for GUI and Fiori tiles in collaboration with BASIS and ABAP teams.</w:t>
      </w:r>
    </w:p>
    <w:p w:rsidR="000A31FF">
      <w:pPr>
        <w:pStyle w:val="Body"/>
        <w:spacing w:before="120" w:after="20"/>
      </w:pPr>
      <w:r>
        <w:rPr>
          <w:rFonts w:ascii="Calibri" w:hAnsi="Calibri"/>
          <w:b/>
          <w:bCs/>
          <w:color w:val="0F2942"/>
          <w:sz w:val="21"/>
          <w:szCs w:val="21"/>
          <w:u w:color="0F2942"/>
          <w:lang w:val="it-IT"/>
        </w:rPr>
        <w:t>Senior SAP S/4HANA FICO &amp; VIM Consultant</w:t>
      </w:r>
    </w:p>
    <w:p w:rsidR="000A31FF">
      <w:pPr>
        <w:pStyle w:val="Body"/>
        <w:spacing w:after="20"/>
      </w:pPr>
      <w:r>
        <w:rPr>
          <w:rFonts w:ascii="Calibri" w:hAnsi="Calibri"/>
          <w:color w:val="006494"/>
          <w:sz w:val="19"/>
          <w:szCs w:val="19"/>
          <w:u w:color="006494"/>
        </w:rPr>
        <w:t>iLink Digital</w:t>
      </w:r>
      <w:r>
        <w:rPr>
          <w:rFonts w:ascii="Calibri" w:hAnsi="Calibri"/>
          <w:color w:val="555555"/>
          <w:sz w:val="19"/>
          <w:szCs w:val="19"/>
          <w:u w:color="555555"/>
        </w:rPr>
        <w:t xml:space="preserve">   |   </w:t>
      </w:r>
      <w:r>
        <w:rPr>
          <w:rFonts w:ascii="Calibri" w:hAnsi="Calibri"/>
          <w:i/>
          <w:iCs/>
          <w:color w:val="555555"/>
          <w:sz w:val="19"/>
          <w:szCs w:val="19"/>
          <w:u w:color="555555"/>
        </w:rPr>
        <w:t>October 2020 – January 2021</w:t>
      </w:r>
    </w:p>
    <w:p w:rsidR="000A31FF">
      <w:pPr>
        <w:pStyle w:val="Body"/>
        <w:spacing w:before="20" w:after="40"/>
      </w:pPr>
      <w:r>
        <w:rPr>
          <w:rFonts w:ascii="Arial Unicode MS" w:hAnsi="Arial Unicode MS"/>
          <w:color w:val="C9A84C"/>
          <w:sz w:val="19"/>
          <w:szCs w:val="19"/>
          <w:u w:color="C9A84C"/>
        </w:rPr>
        <w:t>▸</w:t>
      </w:r>
      <w:r>
        <w:rPr>
          <w:rFonts w:ascii="Calibri" w:hAnsi="Calibri"/>
          <w:b/>
          <w:bCs/>
          <w:color w:val="C9A84C"/>
          <w:sz w:val="19"/>
          <w:szCs w:val="19"/>
          <w:u w:color="C9A84C"/>
        </w:rPr>
        <w:t xml:space="preserve"> Client: Univar Solutions – Support Project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Managed end-to-end support tickets for Vendor Invoice Management (VIM), Purchase Orders, MIGO, and MIRO processes.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Provided end-user support for VIM Analytics 7.5 and performed data validation in HP-ALM for GL, AP, AR, and Asset reporting.</w:t>
      </w:r>
    </w:p>
    <w:p w:rsidR="000A31FF">
      <w:pPr>
        <w:pStyle w:val="Body"/>
        <w:spacing w:before="120" w:after="20"/>
      </w:pPr>
      <w:r>
        <w:rPr>
          <w:rFonts w:ascii="Calibri" w:hAnsi="Calibri"/>
          <w:b/>
          <w:bCs/>
          <w:color w:val="0F2942"/>
          <w:sz w:val="21"/>
          <w:szCs w:val="21"/>
          <w:u w:color="0F2942"/>
        </w:rPr>
        <w:t>SAP S/4HANA FI/CO Consultant</w:t>
      </w:r>
    </w:p>
    <w:p w:rsidR="000A31FF">
      <w:pPr>
        <w:pStyle w:val="Body"/>
        <w:spacing w:after="20"/>
      </w:pPr>
      <w:r>
        <w:rPr>
          <w:rFonts w:ascii="Calibri" w:hAnsi="Calibri"/>
          <w:color w:val="006494"/>
          <w:sz w:val="19"/>
          <w:szCs w:val="19"/>
          <w:u w:color="006494"/>
          <w:lang w:val="it-IT"/>
        </w:rPr>
        <w:t>Madiba, Inc.</w:t>
      </w:r>
      <w:r>
        <w:rPr>
          <w:rFonts w:ascii="Calibri" w:hAnsi="Calibri"/>
          <w:color w:val="555555"/>
          <w:sz w:val="19"/>
          <w:szCs w:val="19"/>
          <w:u w:color="555555"/>
        </w:rPr>
        <w:t xml:space="preserve">   |   </w:t>
      </w:r>
      <w:r>
        <w:rPr>
          <w:rFonts w:ascii="Calibri" w:hAnsi="Calibri"/>
          <w:i/>
          <w:iCs/>
          <w:color w:val="555555"/>
          <w:sz w:val="19"/>
          <w:szCs w:val="19"/>
          <w:u w:color="555555"/>
        </w:rPr>
        <w:t>July 2019 – August 2020</w:t>
      </w:r>
    </w:p>
    <w:p w:rsidR="000A31FF">
      <w:pPr>
        <w:pStyle w:val="Body"/>
        <w:spacing w:before="20" w:after="40"/>
      </w:pPr>
      <w:r>
        <w:rPr>
          <w:rFonts w:ascii="Arial Unicode MS" w:hAnsi="Arial Unicode MS"/>
          <w:color w:val="C9A84C"/>
          <w:sz w:val="19"/>
          <w:szCs w:val="19"/>
          <w:u w:color="C9A84C"/>
        </w:rPr>
        <w:t>▸</w:t>
      </w:r>
      <w:r>
        <w:rPr>
          <w:rFonts w:ascii="Calibri" w:hAnsi="Calibri"/>
          <w:b/>
          <w:bCs/>
          <w:color w:val="C9A84C"/>
          <w:sz w:val="19"/>
          <w:szCs w:val="19"/>
          <w:u w:color="C9A84C"/>
        </w:rPr>
        <w:t xml:space="preserve"> Client: Nulife Pharmaceutical – Full Life Cycle Implementation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Led full life cycle SAP implementation covering GL, AP, AR, Asset Accounting, and Controlling (CCA, PCA, IO, PO).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Configured Chart of Accounts, Fiscal Year Variants, Posting Periods, and Financial Statement Versions (Balance Sheet &amp; P&amp;L).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 xml:space="preserve">Set up Automatic Payment </w:t>
      </w:r>
      <w:r w:rsidR="00B0263C">
        <w:rPr>
          <w:rFonts w:ascii="Calibri" w:hAnsi="Calibri"/>
          <w:sz w:val="19"/>
          <w:szCs w:val="19"/>
        </w:rPr>
        <w:t>Program</w:t>
      </w:r>
      <w:r>
        <w:rPr>
          <w:rFonts w:ascii="Calibri" w:hAnsi="Calibri"/>
          <w:sz w:val="19"/>
          <w:szCs w:val="19"/>
        </w:rPr>
        <w:t>, GR/IR Clearing, lockbox processing, and electronic bank reconciliation.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Configured CO-PA for profitability reporting by customer and product; defined cost center hierarchies, assessment/distribution cycles, and activity types.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Supported Product Costing design, integrating Order-to-Cash and Procure-to-Pay processes with account determination in FI for MM &amp; SD.</w:t>
      </w:r>
    </w:p>
    <w:p w:rsidR="000A31FF" w:rsidRPr="00180C24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Delivered integration testing and UAT phases, ensuring system stability at go-live.</w:t>
      </w:r>
    </w:p>
    <w:p w:rsidR="00180C24" w:rsidP="00180C24">
      <w:pPr>
        <w:pStyle w:val="ListBullet"/>
        <w:spacing w:after="40"/>
        <w:rPr>
          <w:rFonts w:ascii="Calibri" w:hAnsi="Calibri"/>
          <w:sz w:val="19"/>
          <w:szCs w:val="19"/>
        </w:rPr>
      </w:pPr>
    </w:p>
    <w:p w:rsidR="00180C24" w:rsidRPr="00180C24" w:rsidP="00180C24">
      <w:pPr>
        <w:pStyle w:val="Body"/>
        <w:spacing w:before="120" w:after="20"/>
        <w:rPr>
          <w:rFonts w:ascii="Calibri" w:hAnsi="Calibri"/>
          <w:b/>
          <w:bCs/>
          <w:color w:val="0F2942"/>
          <w:sz w:val="21"/>
          <w:szCs w:val="21"/>
          <w:u w:color="0F2942"/>
        </w:rPr>
      </w:pPr>
      <w:r w:rsidRPr="00180C24">
        <w:rPr>
          <w:rFonts w:ascii="Calibri" w:hAnsi="Calibri"/>
          <w:b/>
          <w:bCs/>
          <w:color w:val="0F2942"/>
          <w:sz w:val="21"/>
          <w:szCs w:val="21"/>
          <w:u w:color="0F2942"/>
        </w:rPr>
        <w:t>Assistant Professor</w:t>
      </w:r>
    </w:p>
    <w:p w:rsidR="00180C24" w:rsidP="00180C24">
      <w:pPr>
        <w:pStyle w:val="ListBullet"/>
        <w:spacing w:after="40"/>
        <w:rPr>
          <w:rFonts w:ascii="Calibri" w:hAnsi="Calibri"/>
          <w:i/>
          <w:iCs/>
          <w:color w:val="555555"/>
          <w:sz w:val="19"/>
          <w:szCs w:val="19"/>
          <w:u w:color="555555"/>
        </w:rPr>
      </w:pPr>
      <w:r w:rsidRPr="00180C24">
        <w:rPr>
          <w:rFonts w:ascii="Calibri" w:hAnsi="Calibri"/>
          <w:color w:val="006494"/>
          <w:sz w:val="19"/>
          <w:szCs w:val="19"/>
          <w:u w:color="006494"/>
          <w:lang w:val="it-IT"/>
        </w:rPr>
        <w:t>Belpahar English Medium School, Belpahar</w:t>
      </w:r>
      <w:r>
        <w:rPr>
          <w:rFonts w:ascii="Calibri" w:hAnsi="Calibri"/>
          <w:color w:val="006494"/>
          <w:sz w:val="19"/>
          <w:szCs w:val="19"/>
          <w:u w:color="006494"/>
          <w:lang w:val="it-IT"/>
        </w:rPr>
        <w:t xml:space="preserve"> </w:t>
      </w:r>
      <w:r>
        <w:rPr>
          <w:rFonts w:ascii="Calibri" w:hAnsi="Calibri"/>
          <w:color w:val="555555"/>
          <w:sz w:val="19"/>
          <w:szCs w:val="19"/>
          <w:u w:color="555555"/>
        </w:rPr>
        <w:t xml:space="preserve">|   </w:t>
      </w:r>
      <w:r>
        <w:rPr>
          <w:rFonts w:ascii="Calibri" w:hAnsi="Calibri"/>
          <w:i/>
          <w:iCs/>
          <w:color w:val="555555"/>
          <w:sz w:val="19"/>
          <w:szCs w:val="19"/>
          <w:u w:color="555555"/>
        </w:rPr>
        <w:t>Dec 2012 – June 2017</w:t>
      </w:r>
    </w:p>
    <w:p w:rsidR="00180C24" w:rsidRPr="00180C24" w:rsidP="00180C24">
      <w:pPr>
        <w:pStyle w:val="ListBullet"/>
        <w:numPr>
          <w:ilvl w:val="0"/>
          <w:numId w:val="4"/>
        </w:numPr>
        <w:spacing w:after="40"/>
        <w:rPr>
          <w:rFonts w:ascii="Calibri" w:hAnsi="Calibri"/>
          <w:sz w:val="19"/>
          <w:szCs w:val="19"/>
        </w:rPr>
      </w:pPr>
      <w:r w:rsidRPr="00180C24">
        <w:rPr>
          <w:rFonts w:ascii="Calibri" w:hAnsi="Calibri"/>
          <w:sz w:val="19"/>
          <w:szCs w:val="19"/>
        </w:rPr>
        <w:t>Taught Accounts &amp; Economics to senior secondary students</w:t>
      </w:r>
    </w:p>
    <w:p w:rsidR="00180C24" w:rsidP="00180C24">
      <w:pPr>
        <w:pStyle w:val="ListBullet"/>
        <w:spacing w:after="40"/>
        <w:rPr>
          <w:rFonts w:ascii="Satoshi Fallback" w:hAnsi="Satoshi Fallback"/>
          <w:color w:val="121224"/>
          <w:sz w:val="12"/>
          <w:szCs w:val="12"/>
          <w:shd w:val="clear" w:color="auto" w:fill="FFFFFF"/>
        </w:rPr>
      </w:pPr>
    </w:p>
    <w:p w:rsidR="000A31FF">
      <w:pPr>
        <w:pStyle w:val="Body"/>
        <w:spacing w:after="40"/>
      </w:pPr>
    </w:p>
    <w:p w:rsidR="000A31FF">
      <w:pPr>
        <w:pStyle w:val="Body"/>
        <w:pBdr>
          <w:bottom w:val="single" w:sz="8" w:space="0" w:color="006494"/>
        </w:pBdr>
        <w:spacing w:before="200" w:after="40"/>
      </w:pPr>
      <w:r>
        <w:rPr>
          <w:rFonts w:ascii="Calibri" w:hAnsi="Calibri"/>
          <w:b/>
          <w:bCs/>
          <w:color w:val="006494"/>
          <w:u w:color="006494"/>
          <w:lang w:val="de-DE"/>
        </w:rPr>
        <w:t>EDUCATION</w:t>
      </w:r>
    </w:p>
    <w:p w:rsidR="000A31FF">
      <w:pPr>
        <w:pStyle w:val="Body"/>
        <w:spacing w:before="80" w:after="20"/>
      </w:pPr>
      <w:r>
        <w:rPr>
          <w:rFonts w:ascii="Calibri" w:hAnsi="Calibri"/>
          <w:b/>
          <w:bCs/>
          <w:color w:val="0F2942"/>
          <w:sz w:val="19"/>
          <w:szCs w:val="19"/>
          <w:u w:color="0F2942"/>
        </w:rPr>
        <w:t xml:space="preserve">MBA – </w:t>
      </w:r>
      <w:r>
        <w:rPr>
          <w:rFonts w:ascii="Calibri" w:hAnsi="Calibri"/>
          <w:b/>
          <w:bCs/>
          <w:color w:val="0F2942"/>
          <w:sz w:val="19"/>
          <w:szCs w:val="19"/>
          <w:u w:color="0F2942"/>
          <w:lang w:val="fr-FR"/>
        </w:rPr>
        <w:t>Finance</w:t>
      </w:r>
      <w:r>
        <w:rPr>
          <w:rFonts w:ascii="Calibri" w:hAnsi="Calibri"/>
          <w:color w:val="555555"/>
          <w:sz w:val="19"/>
          <w:szCs w:val="19"/>
          <w:u w:color="555555"/>
          <w:lang w:val="de-DE"/>
        </w:rPr>
        <w:t xml:space="preserve">   |   NMIMS (Narsee Monjee Institute of Management Studies), Navi Mumbai   |   2017 </w:t>
      </w:r>
      <w:r>
        <w:rPr>
          <w:rFonts w:ascii="Calibri" w:hAnsi="Calibri"/>
          <w:color w:val="555555"/>
          <w:sz w:val="19"/>
          <w:szCs w:val="19"/>
          <w:u w:color="555555"/>
        </w:rPr>
        <w:t>– 2020</w:t>
      </w:r>
    </w:p>
    <w:p w:rsidR="000A31FF">
      <w:pPr>
        <w:pStyle w:val="Body"/>
        <w:spacing w:before="80" w:after="20"/>
      </w:pPr>
      <w:r>
        <w:rPr>
          <w:rFonts w:ascii="Calibri" w:hAnsi="Calibri"/>
          <w:b/>
          <w:bCs/>
          <w:color w:val="0F2942"/>
          <w:sz w:val="19"/>
          <w:szCs w:val="19"/>
          <w:u w:color="0F2942"/>
        </w:rPr>
        <w:t>Master of Commerce – Accounts &amp; Finance</w:t>
      </w:r>
      <w:r>
        <w:rPr>
          <w:rFonts w:ascii="Calibri" w:hAnsi="Calibri"/>
          <w:color w:val="555555"/>
          <w:sz w:val="19"/>
          <w:szCs w:val="19"/>
          <w:u w:color="555555"/>
          <w:lang w:val="de-DE"/>
        </w:rPr>
        <w:t xml:space="preserve">   |   Sikkim Manipal University (Distance </w:t>
      </w:r>
      <w:r w:rsidR="00D93DBD">
        <w:rPr>
          <w:rFonts w:ascii="Calibri" w:hAnsi="Calibri"/>
          <w:color w:val="555555"/>
          <w:sz w:val="19"/>
          <w:szCs w:val="19"/>
          <w:u w:color="555555"/>
          <w:lang w:val="de-DE"/>
        </w:rPr>
        <w:t>Education) |</w:t>
      </w:r>
      <w:r>
        <w:rPr>
          <w:rFonts w:ascii="Calibri" w:hAnsi="Calibri"/>
          <w:color w:val="555555"/>
          <w:sz w:val="19"/>
          <w:szCs w:val="19"/>
          <w:u w:color="555555"/>
          <w:lang w:val="de-DE"/>
        </w:rPr>
        <w:t xml:space="preserve">   2011 </w:t>
      </w:r>
      <w:r>
        <w:rPr>
          <w:rFonts w:ascii="Calibri" w:hAnsi="Calibri"/>
          <w:color w:val="555555"/>
          <w:sz w:val="19"/>
          <w:szCs w:val="19"/>
          <w:u w:color="555555"/>
        </w:rPr>
        <w:t>– 2013</w:t>
      </w:r>
    </w:p>
    <w:p w:rsidR="000A31FF">
      <w:pPr>
        <w:pStyle w:val="Body"/>
        <w:spacing w:before="80" w:after="20"/>
      </w:pPr>
      <w:r>
        <w:rPr>
          <w:rFonts w:ascii="Calibri" w:hAnsi="Calibri"/>
          <w:b/>
          <w:bCs/>
          <w:color w:val="0F2942"/>
          <w:sz w:val="19"/>
          <w:szCs w:val="19"/>
          <w:u w:color="0F2942"/>
        </w:rPr>
        <w:t xml:space="preserve">Bachelor's Degree – Commerce (Accounts </w:t>
      </w:r>
      <w:r w:rsidR="00D93DBD">
        <w:rPr>
          <w:rFonts w:ascii="Calibri" w:hAnsi="Calibri"/>
          <w:b/>
          <w:bCs/>
          <w:color w:val="0F2942"/>
          <w:sz w:val="19"/>
          <w:szCs w:val="19"/>
          <w:u w:color="0F2942"/>
        </w:rPr>
        <w:t>Honours)</w:t>
      </w:r>
      <w:r w:rsidR="00D93DBD">
        <w:rPr>
          <w:rFonts w:ascii="Calibri" w:hAnsi="Calibri"/>
          <w:color w:val="555555"/>
          <w:sz w:val="19"/>
          <w:szCs w:val="19"/>
          <w:u w:color="555555"/>
        </w:rPr>
        <w:t xml:space="preserve"> |</w:t>
      </w:r>
      <w:r>
        <w:rPr>
          <w:rFonts w:ascii="Calibri" w:hAnsi="Calibri"/>
          <w:color w:val="555555"/>
          <w:sz w:val="19"/>
          <w:szCs w:val="19"/>
          <w:u w:color="555555"/>
        </w:rPr>
        <w:t xml:space="preserve">   Sambalpur University   |   2003 – 2007</w:t>
      </w:r>
    </w:p>
    <w:p w:rsidR="000A31FF">
      <w:pPr>
        <w:pStyle w:val="Body"/>
        <w:spacing w:after="40"/>
      </w:pPr>
    </w:p>
    <w:p w:rsidR="000A31FF">
      <w:pPr>
        <w:pStyle w:val="Body"/>
        <w:pBdr>
          <w:bottom w:val="single" w:sz="8" w:space="0" w:color="006494"/>
        </w:pBdr>
        <w:spacing w:before="200" w:after="40"/>
      </w:pPr>
      <w:r>
        <w:rPr>
          <w:rFonts w:ascii="Calibri" w:hAnsi="Calibri"/>
          <w:b/>
          <w:bCs/>
          <w:color w:val="006494"/>
          <w:u w:color="006494"/>
          <w:lang w:val="de-DE"/>
        </w:rPr>
        <w:t>CERTIFICATIONS &amp; LANGUAGES</w:t>
      </w:r>
    </w:p>
    <w:p w:rsidR="000A31FF" w:rsidRPr="00885990">
      <w:pPr>
        <w:pStyle w:val="ListBullet"/>
        <w:numPr>
          <w:ilvl w:val="0"/>
          <w:numId w:val="4"/>
        </w:numPr>
        <w:spacing w:after="40"/>
        <w:rPr>
          <w:rFonts w:ascii="Calibri" w:hAnsi="Calibri"/>
          <w:sz w:val="19"/>
          <w:szCs w:val="19"/>
        </w:rPr>
      </w:pPr>
      <w:r w:rsidRPr="00885990">
        <w:rPr>
          <w:rFonts w:ascii="Calibri" w:hAnsi="Calibri"/>
          <w:sz w:val="19"/>
          <w:szCs w:val="19"/>
        </w:rPr>
        <w:t>Certified Implementer of Avalara Products with SAP S4H</w:t>
      </w:r>
    </w:p>
    <w:p w:rsidR="000A31FF" w:rsidRPr="0075316C">
      <w:pPr>
        <w:pStyle w:val="ListBullet"/>
        <w:numPr>
          <w:ilvl w:val="0"/>
          <w:numId w:val="4"/>
        </w:numPr>
        <w:spacing w:after="40"/>
        <w:rPr>
          <w:rFonts w:ascii="Calibri" w:hAnsi="Calibri"/>
          <w:sz w:val="19"/>
          <w:szCs w:val="19"/>
        </w:rPr>
      </w:pPr>
      <w:r w:rsidRPr="0075316C">
        <w:rPr>
          <w:rFonts w:ascii="Calibri" w:hAnsi="Calibri"/>
          <w:sz w:val="19"/>
          <w:szCs w:val="19"/>
        </w:rPr>
        <w:t>Post Graduate Diploma in Financial Management</w:t>
      </w:r>
    </w:p>
    <w:p w:rsidR="000A31FF">
      <w:pPr>
        <w:pStyle w:val="ListBullet"/>
        <w:numPr>
          <w:ilvl w:val="0"/>
          <w:numId w:val="4"/>
        </w:numPr>
        <w:spacing w:after="40"/>
        <w:rPr>
          <w:sz w:val="19"/>
          <w:szCs w:val="19"/>
        </w:rPr>
      </w:pPr>
      <w:r>
        <w:rPr>
          <w:rFonts w:ascii="Calibri" w:hAnsi="Calibri"/>
          <w:sz w:val="19"/>
          <w:szCs w:val="19"/>
        </w:rPr>
        <w:t>Diploma in Financial Advanced Accounting</w:t>
      </w:r>
    </w:p>
    <w:p w:rsidR="000A31FF">
      <w:pPr>
        <w:pStyle w:val="Body"/>
        <w:spacing w:after="40"/>
      </w:pPr>
    </w:p>
    <w:p w:rsidR="000A31FF">
      <w:pPr>
        <w:pStyle w:val="Body"/>
        <w:spacing w:before="40" w:after="40"/>
      </w:pPr>
      <w:r>
        <w:rPr>
          <w:rFonts w:ascii="Calibri" w:hAnsi="Calibri"/>
          <w:b/>
          <w:bCs/>
          <w:color w:val="0F2942"/>
          <w:sz w:val="19"/>
          <w:szCs w:val="19"/>
          <w:u w:color="0F2942"/>
        </w:rPr>
        <w:t xml:space="preserve">Languages:  </w:t>
      </w:r>
      <w:r>
        <w:rPr>
          <w:rFonts w:ascii="Calibri" w:hAnsi="Calibri"/>
          <w:sz w:val="19"/>
          <w:szCs w:val="19"/>
          <w:lang w:val="de-DE"/>
        </w:rPr>
        <w:t xml:space="preserve">English (Full </w:t>
      </w:r>
      <w:r w:rsidR="00B0263C">
        <w:rPr>
          <w:rFonts w:ascii="Calibri" w:hAnsi="Calibri"/>
          <w:sz w:val="19"/>
          <w:szCs w:val="19"/>
          <w:lang w:val="de-DE"/>
        </w:rPr>
        <w:t>Professional) |</w:t>
      </w:r>
      <w:r>
        <w:rPr>
          <w:rFonts w:ascii="Calibri" w:hAnsi="Calibri"/>
          <w:sz w:val="19"/>
          <w:szCs w:val="19"/>
          <w:lang w:val="de-DE"/>
        </w:rPr>
        <w:t xml:space="preserve">   German (A1 </w:t>
      </w:r>
      <w:r>
        <w:rPr>
          <w:rFonts w:ascii="Calibri" w:hAnsi="Calibri"/>
          <w:sz w:val="19"/>
          <w:szCs w:val="19"/>
        </w:rPr>
        <w:t xml:space="preserve">– </w:t>
      </w:r>
      <w:r w:rsidR="00C9721A">
        <w:rPr>
          <w:rFonts w:ascii="Calibri" w:hAnsi="Calibri"/>
          <w:sz w:val="19"/>
          <w:szCs w:val="19"/>
          <w:lang w:val="de-DE"/>
        </w:rPr>
        <w:t>Beginner) |</w:t>
      </w:r>
      <w:r>
        <w:rPr>
          <w:rFonts w:ascii="Calibri" w:hAnsi="Calibri"/>
          <w:sz w:val="19"/>
          <w:szCs w:val="19"/>
          <w:lang w:val="de-DE"/>
        </w:rPr>
        <w:t xml:space="preserve">   Hindi (Native)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457844">
      <w:headerReference w:type="default" r:id="rId5"/>
      <w:footerReference w:type="default" r:id="rId6"/>
      <w:pgSz w:w="11900" w:h="16840"/>
      <w:pgMar w:top="850" w:right="1134" w:bottom="850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atoshi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31FF">
    <w:pPr>
      <w:pStyle w:val="Header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31FF">
    <w:pPr>
      <w:pStyle w:val="HeaderFoo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EB4BB8"/>
    <w:multiLevelType w:val="hybridMultilevel"/>
    <w:tmpl w:val="B25C010C"/>
    <w:numStyleLink w:val="ImportedStyle2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3AB57BFD"/>
    <w:multiLevelType w:val="hybridMultilevel"/>
    <w:tmpl w:val="B25C010C"/>
    <w:styleLink w:val="ImportedStyle2"/>
    <w:lvl w:ilvl="0">
      <w:start w:val="1"/>
      <w:numFmt w:val="bullet"/>
      <w:lvlText w:val="·"/>
      <w:lvlJc w:val="left"/>
      <w:pPr>
        <w:ind w:left="388" w:hanging="20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lvlText w:val="·"/>
      <w:lvlJc w:val="left"/>
      <w:pPr>
        <w:ind w:left="388" w:hanging="20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lvlText w:val="·"/>
      <w:lvlJc w:val="left"/>
      <w:pPr>
        <w:ind w:left="388" w:hanging="20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388" w:hanging="20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lvlText w:val="·"/>
      <w:lvlJc w:val="left"/>
      <w:pPr>
        <w:ind w:left="388" w:hanging="20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lvlText w:val="·"/>
      <w:lvlJc w:val="left"/>
      <w:pPr>
        <w:ind w:left="388" w:hanging="20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388" w:hanging="20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lvlText w:val="·"/>
      <w:lvlJc w:val="left"/>
      <w:pPr>
        <w:ind w:left="388" w:hanging="20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lvlText w:val="·"/>
      <w:lvlJc w:val="left"/>
      <w:pPr>
        <w:ind w:left="388" w:hanging="20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">
    <w:nsid w:val="3C246D01"/>
    <w:multiLevelType w:val="hybridMultilevel"/>
    <w:tmpl w:val="1302B7E4"/>
    <w:styleLink w:val="ImportedStyle1"/>
    <w:lvl w:ilvl="0">
      <w:start w:val="1"/>
      <w:numFmt w:val="bullet"/>
      <w:lvlText w:val="·"/>
      <w:lvlJc w:val="left"/>
      <w:pPr>
        <w:ind w:left="777" w:hanging="4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97" w:hanging="41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217" w:hanging="41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937" w:hanging="4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657" w:hanging="41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377" w:hanging="41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97" w:hanging="4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817" w:hanging="41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537" w:hanging="41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3">
    <w:nsid w:val="51BC5B1A"/>
    <w:multiLevelType w:val="hybridMultilevel"/>
    <w:tmpl w:val="1302B7E4"/>
    <w:numStyleLink w:val="ImportedStyle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defaultTabStop w:val="720"/>
  <w:characterSpacingControl w:val="doNotCompress"/>
  <w:compat>
    <w:useFELayout/>
  </w:compat>
  <w:rsids>
    <w:rsidRoot w:val="000A31FF"/>
    <w:rsid w:val="00005382"/>
    <w:rsid w:val="00063310"/>
    <w:rsid w:val="0008159E"/>
    <w:rsid w:val="000A31FF"/>
    <w:rsid w:val="000B7EDB"/>
    <w:rsid w:val="00101788"/>
    <w:rsid w:val="00180C24"/>
    <w:rsid w:val="00316CAD"/>
    <w:rsid w:val="00353C1B"/>
    <w:rsid w:val="00457844"/>
    <w:rsid w:val="004A524D"/>
    <w:rsid w:val="004F672F"/>
    <w:rsid w:val="005217AF"/>
    <w:rsid w:val="00622DDE"/>
    <w:rsid w:val="006409C8"/>
    <w:rsid w:val="006661CA"/>
    <w:rsid w:val="0075316C"/>
    <w:rsid w:val="00803AA2"/>
    <w:rsid w:val="00860A50"/>
    <w:rsid w:val="00885990"/>
    <w:rsid w:val="00AF01C3"/>
    <w:rsid w:val="00B0263C"/>
    <w:rsid w:val="00B55572"/>
    <w:rsid w:val="00B607FA"/>
    <w:rsid w:val="00BB1152"/>
    <w:rsid w:val="00C9721A"/>
    <w:rsid w:val="00D93DBD"/>
    <w:rsid w:val="00DB7A1B"/>
    <w:rsid w:val="00E04E1D"/>
    <w:rsid w:val="00E92D8C"/>
    <w:rsid w:val="00F40681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84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57844"/>
    <w:rPr>
      <w:u w:val="single"/>
    </w:rPr>
  </w:style>
  <w:style w:type="paragraph" w:customStyle="1" w:styleId="HeaderFooter">
    <w:name w:val="Header &amp; Footer"/>
    <w:rsid w:val="00457844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sid w:val="00457844"/>
    <w:pPr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</w:rPr>
  </w:style>
  <w:style w:type="paragraph" w:styleId="ListParagraph">
    <w:name w:val="List Paragraph"/>
    <w:rsid w:val="00457844"/>
    <w:pPr>
      <w:spacing w:after="200" w:line="276" w:lineRule="auto"/>
      <w:ind w:left="720"/>
    </w:pPr>
    <w:rPr>
      <w:rFonts w:ascii="Cambria" w:hAnsi="Cambria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rsid w:val="00457844"/>
    <w:pPr>
      <w:numPr>
        <w:numId w:val="1"/>
      </w:numPr>
    </w:pPr>
  </w:style>
  <w:style w:type="paragraph" w:styleId="ListBullet">
    <w:name w:val="List Bullet"/>
    <w:rsid w:val="00457844"/>
    <w:pPr>
      <w:tabs>
        <w:tab w:val="left" w:pos="360"/>
      </w:tabs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</w:rPr>
  </w:style>
  <w:style w:type="numbering" w:customStyle="1" w:styleId="ImportedStyle2">
    <w:name w:val="Imported Style 2"/>
    <w:rsid w:val="00457844"/>
    <w:pPr>
      <w:numPr>
        <w:numId w:val="3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240372e6cda640e7991795a6bd7f09a134f4b0419514c4847440321091b5b58170a12021446584f1543124a4b485d4637071f1b5b581b5b150b141051540d004a41084704454559545b074b125a420612105e090d034b10081105035d4a0e560c0a4257587a4553524f015943170c19110d5302025b321f4652444168154a571b5548150a190211414a411b1213471b1b1119475058095843110913115c6&amp;docType=docx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7104</TotalTime>
  <Pages>3</Pages>
  <Words>1051</Words>
  <Characters>5997</Characters>
  <Application>Microsoft Office Word</Application>
  <DocSecurity>0</DocSecurity>
  <Lines>49</Lines>
  <Paragraphs>14</Paragraphs>
  <ScaleCrop>false</ScaleCrop>
  <Company/>
  <LinksUpToDate>false</LinksUpToDate>
  <CharactersWithSpaces>7034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Namrata Singh</cp:lastModifiedBy>
  <cp:revision>24</cp:revision>
  <dcterms:created xsi:type="dcterms:W3CDTF">2026-05-19T09:20:00Z</dcterms:created>
  <dcterms:modified xsi:type="dcterms:W3CDTF">2026-06-29T09:26:00Z</dcterms:modified>
</cp:coreProperties>
</file>