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64D74" w14:paraId="28F4E3B9" w14:textId="77777777">
      <w:pPr>
        <w:spacing w:after="40"/>
        <w:jc w:val="center"/>
      </w:pPr>
      <w:r>
        <w:rPr>
          <w:rFonts w:ascii="Cambria" w:eastAsia="Cambria" w:hAnsi="Cambria" w:cs="Cambria"/>
          <w:b/>
          <w:bCs/>
          <w:color w:val="1F3864"/>
          <w:sz w:val="44"/>
          <w:szCs w:val="44"/>
        </w:rPr>
        <w:t xml:space="preserve">SINDHU K </w:t>
      </w:r>
      <w:r>
        <w:rPr>
          <w:rFonts w:ascii="Cambria" w:eastAsia="Cambria" w:hAnsi="Cambria" w:cs="Cambria"/>
          <w:b/>
          <w:bCs/>
          <w:color w:val="1F3864"/>
          <w:sz w:val="44"/>
          <w:szCs w:val="44"/>
        </w:rPr>
        <w:t>K</w:t>
      </w:r>
    </w:p>
    <w:p w:rsidR="00C64D74" w:rsidRPr="00AB7C22" w14:paraId="55D10AB8" w14:textId="22CBA1A0">
      <w:pPr>
        <w:spacing w:after="80"/>
        <w:jc w:val="center"/>
        <w:rPr>
          <w:sz w:val="24"/>
          <w:szCs w:val="24"/>
        </w:rPr>
      </w:pPr>
      <w:r w:rsidRPr="00AB7C22">
        <w:rPr>
          <w:rFonts w:ascii="Calibri" w:eastAsia="Calibri" w:hAnsi="Calibri" w:cs="Calibri"/>
          <w:b/>
          <w:bCs/>
          <w:color w:val="595959"/>
          <w:spacing w:val="4"/>
          <w:sz w:val="24"/>
          <w:szCs w:val="24"/>
        </w:rPr>
        <w:t xml:space="preserve">SAP CO </w:t>
      </w:r>
      <w:r w:rsidRPr="00AB7C22" w:rsidR="00AB7C22">
        <w:rPr>
          <w:rFonts w:ascii="Calibri" w:eastAsia="Calibri" w:hAnsi="Calibri" w:cs="Calibri"/>
          <w:b/>
          <w:bCs/>
          <w:color w:val="595959"/>
          <w:spacing w:val="4"/>
          <w:sz w:val="24"/>
          <w:szCs w:val="24"/>
        </w:rPr>
        <w:t>CONSULTANT | S</w:t>
      </w:r>
      <w:r w:rsidRPr="00AB7C22">
        <w:rPr>
          <w:rFonts w:ascii="Calibri" w:eastAsia="Calibri" w:hAnsi="Calibri" w:cs="Calibri"/>
          <w:b/>
          <w:bCs/>
          <w:color w:val="595959"/>
          <w:spacing w:val="4"/>
          <w:sz w:val="24"/>
          <w:szCs w:val="24"/>
        </w:rPr>
        <w:t>/4HANA &amp; ECC</w:t>
      </w:r>
      <w:r w:rsidRPr="00AB7C22" w:rsidR="00AB7C22">
        <w:rPr>
          <w:rFonts w:ascii="Calibri" w:eastAsia="Calibri" w:hAnsi="Calibri" w:cs="Calibri"/>
          <w:b/>
          <w:bCs/>
          <w:color w:val="595959"/>
          <w:spacing w:val="4"/>
          <w:sz w:val="24"/>
          <w:szCs w:val="24"/>
        </w:rPr>
        <w:t xml:space="preserve"> |</w:t>
      </w:r>
    </w:p>
    <w:p w:rsidR="00C64D74" w:rsidRPr="00AB7C22" w14:paraId="4F951EDE" w14:textId="34EC610F">
      <w:pPr>
        <w:pBdr>
          <w:bottom w:val="single" w:sz="10" w:space="6" w:color="1F3864"/>
        </w:pBdr>
        <w:spacing w:after="160"/>
        <w:jc w:val="center"/>
        <w:rPr>
          <w:sz w:val="22"/>
          <w:szCs w:val="22"/>
        </w:rPr>
      </w:pPr>
      <w:r w:rsidRPr="00AB7C22">
        <w:rPr>
          <w:rFonts w:ascii="Calibri" w:eastAsia="Calibri" w:hAnsi="Calibri" w:cs="Calibri"/>
          <w:sz w:val="22"/>
          <w:szCs w:val="22"/>
        </w:rPr>
        <w:t>Bengaluru, India   |   +91</w:t>
      </w:r>
      <w:r w:rsidR="00AB7C22">
        <w:rPr>
          <w:rFonts w:ascii="Calibri" w:eastAsia="Calibri" w:hAnsi="Calibri" w:cs="Calibri"/>
          <w:sz w:val="22"/>
          <w:szCs w:val="22"/>
        </w:rPr>
        <w:t>-</w:t>
      </w:r>
      <w:r w:rsidRPr="00AB7C22">
        <w:rPr>
          <w:rFonts w:ascii="Calibri" w:eastAsia="Calibri" w:hAnsi="Calibri" w:cs="Calibri"/>
          <w:b/>
          <w:bCs/>
          <w:sz w:val="22"/>
          <w:szCs w:val="22"/>
        </w:rPr>
        <w:t xml:space="preserve"> 9538518307  </w:t>
      </w:r>
      <w:r w:rsidRPr="00AB7C22">
        <w:rPr>
          <w:rFonts w:ascii="Calibri" w:eastAsia="Calibri" w:hAnsi="Calibri" w:cs="Calibri"/>
          <w:sz w:val="22"/>
          <w:szCs w:val="22"/>
        </w:rPr>
        <w:t xml:space="preserve"> |   sindhu.kk393@gmail.com   | </w:t>
      </w:r>
    </w:p>
    <w:p w:rsidR="00C64D74" w14:paraId="26CE0550" w14:textId="77777777">
      <w:pPr>
        <w:pBdr>
          <w:bottom w:val="single" w:sz="8" w:space="3" w:color="1F3864"/>
        </w:pBdr>
        <w:spacing w:before="260" w:after="110"/>
      </w:pPr>
      <w:r>
        <w:rPr>
          <w:rFonts w:ascii="Cambria" w:eastAsia="Cambria" w:hAnsi="Cambria" w:cs="Cambria"/>
          <w:b/>
          <w:bCs/>
          <w:color w:val="1F3864"/>
          <w:spacing w:val="6"/>
          <w:sz w:val="24"/>
          <w:szCs w:val="24"/>
        </w:rPr>
        <w:t>PROFESSIONAL SUMMARY</w:t>
      </w:r>
    </w:p>
    <w:p w:rsidR="00C64D74" w14:paraId="48AE9FA9" w14:textId="75299669">
      <w:pPr>
        <w:spacing w:after="140"/>
      </w:pPr>
      <w:r>
        <w:rPr>
          <w:rFonts w:ascii="Calibri" w:eastAsia="Calibri" w:hAnsi="Calibri" w:cs="Calibri"/>
          <w:sz w:val="21"/>
          <w:szCs w:val="21"/>
        </w:rPr>
        <w:t xml:space="preserve">SAP CO Consultant with </w:t>
      </w:r>
      <w:r>
        <w:rPr>
          <w:rFonts w:ascii="Calibri" w:eastAsia="Calibri" w:hAnsi="Calibri" w:cs="Calibri"/>
          <w:b/>
          <w:bCs/>
          <w:sz w:val="21"/>
          <w:szCs w:val="21"/>
        </w:rPr>
        <w:t>11 years</w:t>
      </w:r>
      <w:r>
        <w:rPr>
          <w:rFonts w:ascii="Calibri" w:eastAsia="Calibri" w:hAnsi="Calibri" w:cs="Calibri"/>
          <w:sz w:val="21"/>
          <w:szCs w:val="21"/>
        </w:rPr>
        <w:t xml:space="preserve"> of total professional experience, including </w:t>
      </w:r>
      <w:r>
        <w:rPr>
          <w:rFonts w:ascii="Calibri" w:eastAsia="Calibri" w:hAnsi="Calibri" w:cs="Calibri"/>
          <w:b/>
          <w:bCs/>
          <w:sz w:val="21"/>
          <w:szCs w:val="21"/>
        </w:rPr>
        <w:t>7+ years</w:t>
      </w:r>
      <w:r>
        <w:rPr>
          <w:rFonts w:ascii="Calibri" w:eastAsia="Calibri" w:hAnsi="Calibri" w:cs="Calibri"/>
          <w:sz w:val="21"/>
          <w:szCs w:val="21"/>
        </w:rPr>
        <w:t xml:space="preserve"> of specialized SAP Controlling experience across ECC and S/4HANA environments. Delivered end-to-end implementation, rollout, and production support for global enterprise clients including </w:t>
      </w:r>
      <w:r>
        <w:rPr>
          <w:rFonts w:ascii="Calibri" w:eastAsia="Calibri" w:hAnsi="Calibri" w:cs="Calibri"/>
          <w:b/>
          <w:bCs/>
          <w:sz w:val="21"/>
          <w:szCs w:val="21"/>
        </w:rPr>
        <w:t>BHP</w:t>
      </w:r>
      <w:r>
        <w:rPr>
          <w:rFonts w:ascii="Calibri" w:eastAsia="Calibri" w:hAnsi="Calibri" w:cs="Calibri"/>
          <w:sz w:val="21"/>
          <w:szCs w:val="21"/>
        </w:rPr>
        <w:t xml:space="preserve"> and </w:t>
      </w:r>
      <w:r>
        <w:rPr>
          <w:rFonts w:ascii="Calibri" w:eastAsia="Calibri" w:hAnsi="Calibri" w:cs="Calibri"/>
          <w:b/>
          <w:bCs/>
          <w:sz w:val="21"/>
          <w:szCs w:val="21"/>
        </w:rPr>
        <w:t>Unilever</w:t>
      </w:r>
      <w:r>
        <w:rPr>
          <w:rFonts w:ascii="Calibri" w:eastAsia="Calibri" w:hAnsi="Calibri" w:cs="Calibri"/>
          <w:sz w:val="21"/>
          <w:szCs w:val="21"/>
        </w:rPr>
        <w:t>. Strong functional command of Cost Center Accounting, Profit Center Accounting, Internal Orders, Product Costing, Material Ledger, and Margin Analysis (COPA), with proven integration expertise across FI, MM, SD, and PP. Recognized for translating complex business requirements into scalable SAP configurations and driving measurable improvements in cost visibility, close efficiency, and issue resolution.</w:t>
      </w:r>
    </w:p>
    <w:p w:rsidR="00C64D74" w14:paraId="6E2FE8D0" w14:textId="216695ED">
      <w:pPr>
        <w:spacing w:after="100"/>
      </w:pPr>
      <w:r>
        <w:rPr>
          <w:rFonts w:ascii="Calibri" w:eastAsia="Calibri" w:hAnsi="Calibri" w:cs="Calibri"/>
          <w:sz w:val="21"/>
          <w:szCs w:val="21"/>
        </w:rPr>
        <w:t>Adept at requirement gathering, solution design, and root-cause troubleshooting within large, matrixed, global delivery environments. Comfortable operating across the full project lifecycle from blueprinting and configuration through UAT, cutover, and hyper care</w:t>
      </w:r>
      <w:r w:rsidR="00EA459E">
        <w:rPr>
          <w:rFonts w:ascii="Calibri" w:eastAsia="Calibri" w:hAnsi="Calibri" w:cs="Calibri"/>
          <w:sz w:val="21"/>
          <w:szCs w:val="21"/>
        </w:rPr>
        <w:t>.</w:t>
      </w:r>
    </w:p>
    <w:p w:rsidR="00C64D74" w14:paraId="3F036C46" w14:textId="77777777">
      <w:pPr>
        <w:pBdr>
          <w:bottom w:val="single" w:sz="8" w:space="3" w:color="1F3864"/>
        </w:pBdr>
        <w:spacing w:before="260" w:after="110"/>
      </w:pPr>
      <w:r>
        <w:rPr>
          <w:rFonts w:ascii="Cambria" w:eastAsia="Cambria" w:hAnsi="Cambria" w:cs="Cambria"/>
          <w:b/>
          <w:bCs/>
          <w:color w:val="1F3864"/>
          <w:spacing w:val="6"/>
          <w:sz w:val="24"/>
          <w:szCs w:val="24"/>
        </w:rPr>
        <w:t>CORE COMPETENCIES</w:t>
      </w:r>
    </w:p>
    <w:tbl>
      <w:tblPr>
        <w:tblW w:w="5000" w:type="pct"/>
        <w:tblCellMar>
          <w:left w:w="10" w:type="dxa"/>
          <w:right w:w="10" w:type="dxa"/>
        </w:tblCellMar>
        <w:tblLook w:val="04A0"/>
      </w:tblPr>
      <w:tblGrid>
        <w:gridCol w:w="2923"/>
        <w:gridCol w:w="7517"/>
      </w:tblGrid>
      <w:tr w14:paraId="02B2B40C" w14:textId="77777777">
        <w:tblPrEx>
          <w:tblW w:w="5000" w:type="pct"/>
          <w:tblCellMar>
            <w:left w:w="10" w:type="dxa"/>
            <w:right w:w="10" w:type="dxa"/>
          </w:tblCellMar>
          <w:tblLook w:val="04A0"/>
        </w:tblPrEx>
        <w:tc>
          <w:tcPr>
            <w:tcW w:w="1400" w:type="pct"/>
            <w:shd w:val="clear" w:color="auto" w:fill="EAF0F8"/>
            <w:tcMar>
              <w:top w:w="60" w:type="dxa"/>
              <w:left w:w="100" w:type="dxa"/>
              <w:bottom w:w="60" w:type="dxa"/>
              <w:right w:w="100" w:type="dxa"/>
            </w:tcMar>
          </w:tcPr>
          <w:p w:rsidR="00C64D74" w14:paraId="015D84E3" w14:textId="77777777">
            <w:r>
              <w:rPr>
                <w:rFonts w:ascii="Calibri" w:eastAsia="Calibri" w:hAnsi="Calibri" w:cs="Calibri"/>
                <w:b/>
                <w:bCs/>
                <w:color w:val="1F3864"/>
              </w:rPr>
              <w:t>Controlling Modules</w:t>
            </w:r>
          </w:p>
        </w:tc>
        <w:tc>
          <w:tcPr>
            <w:tcW w:w="3600" w:type="pct"/>
            <w:tcMar>
              <w:top w:w="60" w:type="dxa"/>
              <w:left w:w="120" w:type="dxa"/>
              <w:bottom w:w="60" w:type="dxa"/>
              <w:right w:w="100" w:type="dxa"/>
            </w:tcMar>
          </w:tcPr>
          <w:p w:rsidR="00C64D74" w14:paraId="7BBFA891" w14:textId="77777777">
            <w:r>
              <w:rPr>
                <w:rFonts w:ascii="Calibri" w:eastAsia="Calibri" w:hAnsi="Calibri" w:cs="Calibri"/>
              </w:rPr>
              <w:t>Cost Center Accounting (CCA), Profit Center Accounting (PCA), Internal Orders, Product Costing, Material Ledger, Margin Analysis (COPA)</w:t>
            </w:r>
          </w:p>
        </w:tc>
      </w:tr>
      <w:tr w14:paraId="6EF9FDE6" w14:textId="77777777">
        <w:tblPrEx>
          <w:tblW w:w="5000" w:type="pct"/>
          <w:tblCellMar>
            <w:left w:w="10" w:type="dxa"/>
            <w:right w:w="10" w:type="dxa"/>
          </w:tblCellMar>
          <w:tblLook w:val="04A0"/>
        </w:tblPrEx>
        <w:tc>
          <w:tcPr>
            <w:tcW w:w="1400" w:type="pct"/>
            <w:shd w:val="clear" w:color="auto" w:fill="EAF0F8"/>
            <w:tcMar>
              <w:top w:w="60" w:type="dxa"/>
              <w:left w:w="100" w:type="dxa"/>
              <w:bottom w:w="60" w:type="dxa"/>
              <w:right w:w="100" w:type="dxa"/>
            </w:tcMar>
          </w:tcPr>
          <w:p w:rsidR="00C64D74" w14:paraId="1CB1E8A2" w14:textId="77777777">
            <w:r>
              <w:rPr>
                <w:rFonts w:ascii="Calibri" w:eastAsia="Calibri" w:hAnsi="Calibri" w:cs="Calibri"/>
                <w:b/>
                <w:bCs/>
                <w:color w:val="1F3864"/>
              </w:rPr>
              <w:t>Business Processes</w:t>
            </w:r>
          </w:p>
        </w:tc>
        <w:tc>
          <w:tcPr>
            <w:tcW w:w="3600" w:type="pct"/>
            <w:tcMar>
              <w:top w:w="60" w:type="dxa"/>
              <w:left w:w="120" w:type="dxa"/>
              <w:bottom w:w="60" w:type="dxa"/>
              <w:right w:w="100" w:type="dxa"/>
            </w:tcMar>
          </w:tcPr>
          <w:p w:rsidR="00C64D74" w14:paraId="70365223" w14:textId="77777777">
            <w:r>
              <w:rPr>
                <w:rFonts w:ascii="Calibri" w:eastAsia="Calibri" w:hAnsi="Calibri" w:cs="Calibri"/>
              </w:rPr>
              <w:t>Record to Report (R2R), Procure to Pay (P2P), Plan to Deliver (PTD), Month-End &amp; Period-End Close</w:t>
            </w:r>
          </w:p>
        </w:tc>
      </w:tr>
      <w:tr w14:paraId="50E8D241" w14:textId="77777777">
        <w:tblPrEx>
          <w:tblW w:w="5000" w:type="pct"/>
          <w:tblCellMar>
            <w:left w:w="10" w:type="dxa"/>
            <w:right w:w="10" w:type="dxa"/>
          </w:tblCellMar>
          <w:tblLook w:val="04A0"/>
        </w:tblPrEx>
        <w:tc>
          <w:tcPr>
            <w:tcW w:w="1400" w:type="pct"/>
            <w:shd w:val="clear" w:color="auto" w:fill="EAF0F8"/>
            <w:tcMar>
              <w:top w:w="60" w:type="dxa"/>
              <w:left w:w="100" w:type="dxa"/>
              <w:bottom w:w="60" w:type="dxa"/>
              <w:right w:w="100" w:type="dxa"/>
            </w:tcMar>
          </w:tcPr>
          <w:p w:rsidR="00C64D74" w14:paraId="078E640F" w14:textId="77777777">
            <w:r>
              <w:rPr>
                <w:rFonts w:ascii="Calibri" w:eastAsia="Calibri" w:hAnsi="Calibri" w:cs="Calibri"/>
                <w:b/>
                <w:bCs/>
                <w:color w:val="1F3864"/>
              </w:rPr>
              <w:t>Project Lifecycle</w:t>
            </w:r>
          </w:p>
        </w:tc>
        <w:tc>
          <w:tcPr>
            <w:tcW w:w="3600" w:type="pct"/>
            <w:tcMar>
              <w:top w:w="60" w:type="dxa"/>
              <w:left w:w="120" w:type="dxa"/>
              <w:bottom w:w="60" w:type="dxa"/>
              <w:right w:w="100" w:type="dxa"/>
            </w:tcMar>
          </w:tcPr>
          <w:p w:rsidR="00C64D74" w14:paraId="7CA13E88" w14:textId="77777777">
            <w:r>
              <w:rPr>
                <w:rFonts w:ascii="Calibri" w:eastAsia="Calibri" w:hAnsi="Calibri" w:cs="Calibri"/>
              </w:rPr>
              <w:t>Requirement Gathering, Business Blueprinting, BPD / FSD / CDD Authoring, Configuration, UT / SIT / UAT, Cutover, Hypercare</w:t>
            </w:r>
          </w:p>
        </w:tc>
      </w:tr>
      <w:tr w14:paraId="45D72BA4" w14:textId="77777777">
        <w:tblPrEx>
          <w:tblW w:w="5000" w:type="pct"/>
          <w:tblCellMar>
            <w:left w:w="10" w:type="dxa"/>
            <w:right w:w="10" w:type="dxa"/>
          </w:tblCellMar>
          <w:tblLook w:val="04A0"/>
        </w:tblPrEx>
        <w:tc>
          <w:tcPr>
            <w:tcW w:w="1400" w:type="pct"/>
            <w:shd w:val="clear" w:color="auto" w:fill="EAF0F8"/>
            <w:tcMar>
              <w:top w:w="60" w:type="dxa"/>
              <w:left w:w="100" w:type="dxa"/>
              <w:bottom w:w="60" w:type="dxa"/>
              <w:right w:w="100" w:type="dxa"/>
            </w:tcMar>
          </w:tcPr>
          <w:p w:rsidR="00C64D74" w14:paraId="0ED6E25B" w14:textId="77777777">
            <w:r>
              <w:rPr>
                <w:rFonts w:ascii="Calibri" w:eastAsia="Calibri" w:hAnsi="Calibri" w:cs="Calibri"/>
                <w:b/>
                <w:bCs/>
                <w:color w:val="1F3864"/>
              </w:rPr>
              <w:t>Integration</w:t>
            </w:r>
          </w:p>
        </w:tc>
        <w:tc>
          <w:tcPr>
            <w:tcW w:w="3600" w:type="pct"/>
            <w:tcMar>
              <w:top w:w="60" w:type="dxa"/>
              <w:left w:w="120" w:type="dxa"/>
              <w:bottom w:w="60" w:type="dxa"/>
              <w:right w:w="100" w:type="dxa"/>
            </w:tcMar>
          </w:tcPr>
          <w:p w:rsidR="00C64D74" w14:paraId="64B66F42" w14:textId="77777777">
            <w:r>
              <w:rPr>
                <w:rFonts w:ascii="Calibri" w:eastAsia="Calibri" w:hAnsi="Calibri" w:cs="Calibri"/>
              </w:rPr>
              <w:t>Cross-module integration with FI, MM, SD, and PP; data migration and master-data validation</w:t>
            </w:r>
          </w:p>
        </w:tc>
      </w:tr>
      <w:tr w14:paraId="7D7F0045" w14:textId="77777777">
        <w:tblPrEx>
          <w:tblW w:w="5000" w:type="pct"/>
          <w:tblCellMar>
            <w:left w:w="10" w:type="dxa"/>
            <w:right w:w="10" w:type="dxa"/>
          </w:tblCellMar>
          <w:tblLook w:val="04A0"/>
        </w:tblPrEx>
        <w:tc>
          <w:tcPr>
            <w:tcW w:w="1400" w:type="pct"/>
            <w:shd w:val="clear" w:color="auto" w:fill="EAF0F8"/>
            <w:tcMar>
              <w:top w:w="60" w:type="dxa"/>
              <w:left w:w="100" w:type="dxa"/>
              <w:bottom w:w="60" w:type="dxa"/>
              <w:right w:w="100" w:type="dxa"/>
            </w:tcMar>
          </w:tcPr>
          <w:p w:rsidR="00C64D74" w14:paraId="6AB2054C" w14:textId="77777777">
            <w:r>
              <w:rPr>
                <w:rFonts w:ascii="Calibri" w:eastAsia="Calibri" w:hAnsi="Calibri" w:cs="Calibri"/>
                <w:b/>
                <w:bCs/>
                <w:color w:val="1F3864"/>
              </w:rPr>
              <w:t>Tools &amp; Platforms</w:t>
            </w:r>
          </w:p>
        </w:tc>
        <w:tc>
          <w:tcPr>
            <w:tcW w:w="3600" w:type="pct"/>
            <w:tcMar>
              <w:top w:w="60" w:type="dxa"/>
              <w:left w:w="120" w:type="dxa"/>
              <w:bottom w:w="60" w:type="dxa"/>
              <w:right w:w="100" w:type="dxa"/>
            </w:tcMar>
          </w:tcPr>
          <w:p w:rsidR="00C64D74" w14:paraId="4A8222D4" w14:textId="4FE83509">
            <w:r>
              <w:rPr>
                <w:rFonts w:ascii="Calibri" w:eastAsia="Calibri" w:hAnsi="Calibri" w:cs="Calibri"/>
              </w:rPr>
              <w:t>SAP ECC 6.0, SAP S/4HANA, ServiceNow, MS Excel, MS Office Suite</w:t>
            </w:r>
          </w:p>
        </w:tc>
      </w:tr>
      <w:tr w14:paraId="231A13D3" w14:textId="77777777">
        <w:tblPrEx>
          <w:tblW w:w="5000" w:type="pct"/>
          <w:tblCellMar>
            <w:left w:w="10" w:type="dxa"/>
            <w:right w:w="10" w:type="dxa"/>
          </w:tblCellMar>
          <w:tblLook w:val="04A0"/>
        </w:tblPrEx>
        <w:tc>
          <w:tcPr>
            <w:tcW w:w="1400" w:type="pct"/>
            <w:shd w:val="clear" w:color="auto" w:fill="EAF0F8"/>
            <w:tcMar>
              <w:top w:w="60" w:type="dxa"/>
              <w:left w:w="100" w:type="dxa"/>
              <w:bottom w:w="60" w:type="dxa"/>
              <w:right w:w="100" w:type="dxa"/>
            </w:tcMar>
          </w:tcPr>
          <w:p w:rsidR="00C64D74" w14:paraId="0C3A4E6E" w14:textId="77777777">
            <w:r>
              <w:rPr>
                <w:rFonts w:ascii="Calibri" w:eastAsia="Calibri" w:hAnsi="Calibri" w:cs="Calibri"/>
                <w:b/>
                <w:bCs/>
                <w:color w:val="1F3864"/>
              </w:rPr>
              <w:t>Delivery Approach</w:t>
            </w:r>
          </w:p>
        </w:tc>
        <w:tc>
          <w:tcPr>
            <w:tcW w:w="3600" w:type="pct"/>
            <w:tcMar>
              <w:top w:w="60" w:type="dxa"/>
              <w:left w:w="120" w:type="dxa"/>
              <w:bottom w:w="60" w:type="dxa"/>
              <w:right w:w="100" w:type="dxa"/>
            </w:tcMar>
          </w:tcPr>
          <w:p w:rsidR="00C64D74" w14:paraId="33DF9313" w14:textId="77777777">
            <w:r>
              <w:rPr>
                <w:rFonts w:ascii="Calibri" w:eastAsia="Calibri" w:hAnsi="Calibri" w:cs="Calibri"/>
              </w:rPr>
              <w:t>Incident &amp; Change Management, Root Cause Analysis (RCA), SLA Management, Stakeholder Governance</w:t>
            </w:r>
          </w:p>
        </w:tc>
      </w:tr>
    </w:tbl>
    <w:p w:rsidR="00C64D74" w14:paraId="3A7749EA" w14:textId="77777777">
      <w:pPr>
        <w:pBdr>
          <w:bottom w:val="single" w:sz="8" w:space="3" w:color="1F3864"/>
        </w:pBdr>
        <w:spacing w:before="260" w:after="110"/>
      </w:pPr>
      <w:r>
        <w:rPr>
          <w:rFonts w:ascii="Cambria" w:eastAsia="Cambria" w:hAnsi="Cambria" w:cs="Cambria"/>
          <w:b/>
          <w:bCs/>
          <w:color w:val="1F3864"/>
          <w:spacing w:val="6"/>
          <w:sz w:val="24"/>
          <w:szCs w:val="24"/>
        </w:rPr>
        <w:t>KEY ENGAGEMENTS SNAPSHOT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tblPr>
      <w:tblGrid>
        <w:gridCol w:w="1032"/>
        <w:gridCol w:w="2898"/>
        <w:gridCol w:w="900"/>
        <w:gridCol w:w="5600"/>
      </w:tblGrid>
      <w:tr w14:paraId="1A989F9A" w14:textId="77777777">
        <w:tblPrEx>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tblPrEx>
        <w:trPr>
          <w:tblHeader/>
        </w:trPr>
        <w:tc>
          <w:tcPr>
            <w:tcW w:w="0" w:type="auto"/>
            <w:shd w:val="clear" w:color="auto" w:fill="1F3864"/>
            <w:tcMar>
              <w:top w:w="70" w:type="dxa"/>
              <w:left w:w="100" w:type="dxa"/>
              <w:bottom w:w="70" w:type="dxa"/>
              <w:right w:w="100" w:type="dxa"/>
            </w:tcMar>
          </w:tcPr>
          <w:p w:rsidR="00C64D74" w14:paraId="0D5B5BB2" w14:textId="77777777">
            <w:r>
              <w:rPr>
                <w:rFonts w:ascii="Calibri" w:eastAsia="Calibri" w:hAnsi="Calibri" w:cs="Calibri"/>
                <w:b/>
                <w:bCs/>
                <w:color w:val="FFFFFF"/>
                <w:sz w:val="19"/>
                <w:szCs w:val="19"/>
              </w:rPr>
              <w:t>Client</w:t>
            </w:r>
          </w:p>
        </w:tc>
        <w:tc>
          <w:tcPr>
            <w:tcW w:w="0" w:type="auto"/>
            <w:shd w:val="clear" w:color="auto" w:fill="1F3864"/>
            <w:tcMar>
              <w:top w:w="70" w:type="dxa"/>
              <w:left w:w="100" w:type="dxa"/>
              <w:bottom w:w="70" w:type="dxa"/>
              <w:right w:w="100" w:type="dxa"/>
            </w:tcMar>
          </w:tcPr>
          <w:p w:rsidR="00C64D74" w14:paraId="04D96C4C" w14:textId="77777777">
            <w:r>
              <w:rPr>
                <w:rFonts w:ascii="Calibri" w:eastAsia="Calibri" w:hAnsi="Calibri" w:cs="Calibri"/>
                <w:b/>
                <w:bCs/>
                <w:color w:val="FFFFFF"/>
                <w:sz w:val="19"/>
                <w:szCs w:val="19"/>
              </w:rPr>
              <w:t>Engagement</w:t>
            </w:r>
          </w:p>
        </w:tc>
        <w:tc>
          <w:tcPr>
            <w:tcW w:w="0" w:type="auto"/>
            <w:shd w:val="clear" w:color="auto" w:fill="1F3864"/>
            <w:tcMar>
              <w:top w:w="70" w:type="dxa"/>
              <w:left w:w="100" w:type="dxa"/>
              <w:bottom w:w="70" w:type="dxa"/>
              <w:right w:w="100" w:type="dxa"/>
            </w:tcMar>
          </w:tcPr>
          <w:p w:rsidR="00C64D74" w14:paraId="241C4EAB" w14:textId="77777777">
            <w:r>
              <w:rPr>
                <w:rFonts w:ascii="Calibri" w:eastAsia="Calibri" w:hAnsi="Calibri" w:cs="Calibri"/>
                <w:b/>
                <w:bCs/>
                <w:color w:val="FFFFFF"/>
                <w:sz w:val="19"/>
                <w:szCs w:val="19"/>
              </w:rPr>
              <w:t>Duration</w:t>
            </w:r>
          </w:p>
        </w:tc>
        <w:tc>
          <w:tcPr>
            <w:tcW w:w="0" w:type="auto"/>
            <w:shd w:val="clear" w:color="auto" w:fill="1F3864"/>
            <w:tcMar>
              <w:top w:w="70" w:type="dxa"/>
              <w:left w:w="100" w:type="dxa"/>
              <w:bottom w:w="70" w:type="dxa"/>
              <w:right w:w="100" w:type="dxa"/>
            </w:tcMar>
          </w:tcPr>
          <w:p w:rsidR="00C64D74" w14:paraId="6D02AC4B" w14:textId="77777777">
            <w:r>
              <w:rPr>
                <w:rFonts w:ascii="Calibri" w:eastAsia="Calibri" w:hAnsi="Calibri" w:cs="Calibri"/>
                <w:b/>
                <w:bCs/>
                <w:color w:val="FFFFFF"/>
                <w:sz w:val="19"/>
                <w:szCs w:val="19"/>
              </w:rPr>
              <w:t>CO Scope</w:t>
            </w:r>
          </w:p>
        </w:tc>
      </w:tr>
      <w:tr w14:paraId="3C1B5023" w14:textId="77777777">
        <w:tblPrEx>
          <w:tblW w:w="5000" w:type="pct"/>
          <w:tblCellMar>
            <w:left w:w="10" w:type="dxa"/>
            <w:right w:w="10" w:type="dxa"/>
          </w:tblCellMar>
          <w:tblLook w:val="04A0"/>
        </w:tblPrEx>
        <w:tc>
          <w:tcPr>
            <w:tcW w:w="0" w:type="auto"/>
            <w:tcMar>
              <w:top w:w="70" w:type="dxa"/>
              <w:left w:w="100" w:type="dxa"/>
              <w:bottom w:w="70" w:type="dxa"/>
              <w:right w:w="100" w:type="dxa"/>
            </w:tcMar>
          </w:tcPr>
          <w:p w:rsidR="00C64D74" w14:paraId="6C2F8F37" w14:textId="77777777">
            <w:r>
              <w:rPr>
                <w:rFonts w:ascii="Calibri" w:eastAsia="Calibri" w:hAnsi="Calibri" w:cs="Calibri"/>
                <w:b/>
                <w:bCs/>
                <w:sz w:val="19"/>
                <w:szCs w:val="19"/>
              </w:rPr>
              <w:t>BHP</w:t>
            </w:r>
          </w:p>
        </w:tc>
        <w:tc>
          <w:tcPr>
            <w:tcW w:w="0" w:type="auto"/>
            <w:tcMar>
              <w:top w:w="70" w:type="dxa"/>
              <w:left w:w="100" w:type="dxa"/>
              <w:bottom w:w="70" w:type="dxa"/>
              <w:right w:w="100" w:type="dxa"/>
            </w:tcMar>
          </w:tcPr>
          <w:p w:rsidR="00C64D74" w14:paraId="77961AA0" w14:textId="77777777">
            <w:r>
              <w:rPr>
                <w:rFonts w:ascii="Calibri" w:eastAsia="Calibri" w:hAnsi="Calibri" w:cs="Calibri"/>
                <w:sz w:val="19"/>
                <w:szCs w:val="19"/>
              </w:rPr>
              <w:t>S/4HANA Implementation &amp; Rollout</w:t>
            </w:r>
          </w:p>
        </w:tc>
        <w:tc>
          <w:tcPr>
            <w:tcW w:w="0" w:type="auto"/>
            <w:tcMar>
              <w:top w:w="70" w:type="dxa"/>
              <w:left w:w="100" w:type="dxa"/>
              <w:bottom w:w="70" w:type="dxa"/>
              <w:right w:w="100" w:type="dxa"/>
            </w:tcMar>
          </w:tcPr>
          <w:p w:rsidR="00C64D74" w14:paraId="548870D2" w14:textId="77777777">
            <w:r>
              <w:rPr>
                <w:rFonts w:ascii="Calibri" w:eastAsia="Calibri" w:hAnsi="Calibri" w:cs="Calibri"/>
                <w:sz w:val="19"/>
                <w:szCs w:val="19"/>
              </w:rPr>
              <w:t>3 Years</w:t>
            </w:r>
          </w:p>
        </w:tc>
        <w:tc>
          <w:tcPr>
            <w:tcW w:w="0" w:type="auto"/>
            <w:tcMar>
              <w:top w:w="70" w:type="dxa"/>
              <w:left w:w="100" w:type="dxa"/>
              <w:bottom w:w="70" w:type="dxa"/>
              <w:right w:w="100" w:type="dxa"/>
            </w:tcMar>
          </w:tcPr>
          <w:p w:rsidR="00C64D74" w14:paraId="115D1C82" w14:textId="77777777">
            <w:r>
              <w:rPr>
                <w:rFonts w:ascii="Calibri" w:eastAsia="Calibri" w:hAnsi="Calibri" w:cs="Calibri"/>
                <w:sz w:val="19"/>
                <w:szCs w:val="19"/>
              </w:rPr>
              <w:t>CCA, PCA, Internal Orders, Product Costing, Material Ledger, COPA</w:t>
            </w:r>
          </w:p>
        </w:tc>
      </w:tr>
      <w:tr w14:paraId="135043D7" w14:textId="77777777">
        <w:tblPrEx>
          <w:tblW w:w="5000" w:type="pct"/>
          <w:tblCellMar>
            <w:left w:w="10" w:type="dxa"/>
            <w:right w:w="10" w:type="dxa"/>
          </w:tblCellMar>
          <w:tblLook w:val="04A0"/>
        </w:tblPrEx>
        <w:tc>
          <w:tcPr>
            <w:tcW w:w="0" w:type="auto"/>
            <w:tcMar>
              <w:top w:w="70" w:type="dxa"/>
              <w:left w:w="100" w:type="dxa"/>
              <w:bottom w:w="70" w:type="dxa"/>
              <w:right w:w="100" w:type="dxa"/>
            </w:tcMar>
          </w:tcPr>
          <w:p w:rsidR="00C64D74" w14:paraId="7EDE2F4B" w14:textId="77777777">
            <w:r>
              <w:rPr>
                <w:rFonts w:ascii="Calibri" w:eastAsia="Calibri" w:hAnsi="Calibri" w:cs="Calibri"/>
                <w:b/>
                <w:bCs/>
                <w:sz w:val="19"/>
                <w:szCs w:val="19"/>
              </w:rPr>
              <w:t>Unilever</w:t>
            </w:r>
          </w:p>
        </w:tc>
        <w:tc>
          <w:tcPr>
            <w:tcW w:w="0" w:type="auto"/>
            <w:tcMar>
              <w:top w:w="70" w:type="dxa"/>
              <w:left w:w="100" w:type="dxa"/>
              <w:bottom w:w="70" w:type="dxa"/>
              <w:right w:w="100" w:type="dxa"/>
            </w:tcMar>
          </w:tcPr>
          <w:p w:rsidR="00C64D74" w14:paraId="2CC9559F" w14:textId="77777777">
            <w:r>
              <w:rPr>
                <w:rFonts w:ascii="Calibri" w:eastAsia="Calibri" w:hAnsi="Calibri" w:cs="Calibri"/>
                <w:sz w:val="19"/>
                <w:szCs w:val="19"/>
              </w:rPr>
              <w:t>S/4HANA Production Support</w:t>
            </w:r>
          </w:p>
        </w:tc>
        <w:tc>
          <w:tcPr>
            <w:tcW w:w="0" w:type="auto"/>
            <w:tcMar>
              <w:top w:w="70" w:type="dxa"/>
              <w:left w:w="100" w:type="dxa"/>
              <w:bottom w:w="70" w:type="dxa"/>
              <w:right w:w="100" w:type="dxa"/>
            </w:tcMar>
          </w:tcPr>
          <w:p w:rsidR="00C64D74" w14:paraId="42E67487" w14:textId="77777777">
            <w:r>
              <w:rPr>
                <w:rFonts w:ascii="Calibri" w:eastAsia="Calibri" w:hAnsi="Calibri" w:cs="Calibri"/>
                <w:sz w:val="19"/>
                <w:szCs w:val="19"/>
              </w:rPr>
              <w:t>4 Years</w:t>
            </w:r>
          </w:p>
        </w:tc>
        <w:tc>
          <w:tcPr>
            <w:tcW w:w="0" w:type="auto"/>
            <w:tcMar>
              <w:top w:w="70" w:type="dxa"/>
              <w:left w:w="100" w:type="dxa"/>
              <w:bottom w:w="70" w:type="dxa"/>
              <w:right w:w="100" w:type="dxa"/>
            </w:tcMar>
          </w:tcPr>
          <w:p w:rsidR="00C64D74" w14:paraId="1E1128A0" w14:textId="77777777">
            <w:r>
              <w:rPr>
                <w:rFonts w:ascii="Calibri" w:eastAsia="Calibri" w:hAnsi="Calibri" w:cs="Calibri"/>
                <w:sz w:val="19"/>
                <w:szCs w:val="19"/>
              </w:rPr>
              <w:t>Incident/Change Management, Month-End Close, Material Ledger, COPA</w:t>
            </w:r>
          </w:p>
        </w:tc>
      </w:tr>
      <w:tr w14:paraId="6A8C54CC" w14:textId="77777777">
        <w:tblPrEx>
          <w:tblW w:w="5000" w:type="pct"/>
          <w:tblCellMar>
            <w:left w:w="10" w:type="dxa"/>
            <w:right w:w="10" w:type="dxa"/>
          </w:tblCellMar>
          <w:tblLook w:val="04A0"/>
        </w:tblPrEx>
        <w:tc>
          <w:tcPr>
            <w:tcW w:w="0" w:type="auto"/>
            <w:tcMar>
              <w:top w:w="70" w:type="dxa"/>
              <w:left w:w="100" w:type="dxa"/>
              <w:bottom w:w="70" w:type="dxa"/>
              <w:right w:w="100" w:type="dxa"/>
            </w:tcMar>
          </w:tcPr>
          <w:p w:rsidR="00C64D74" w14:paraId="09474E0D" w14:textId="1A477D67">
            <w:r>
              <w:rPr>
                <w:rFonts w:ascii="Calibri" w:eastAsia="Calibri" w:hAnsi="Calibri" w:cs="Calibri"/>
                <w:b/>
                <w:bCs/>
                <w:sz w:val="19"/>
                <w:szCs w:val="19"/>
              </w:rPr>
              <w:t xml:space="preserve">Capgemini </w:t>
            </w:r>
          </w:p>
        </w:tc>
        <w:tc>
          <w:tcPr>
            <w:tcW w:w="0" w:type="auto"/>
            <w:tcMar>
              <w:top w:w="70" w:type="dxa"/>
              <w:left w:w="100" w:type="dxa"/>
              <w:bottom w:w="70" w:type="dxa"/>
              <w:right w:w="100" w:type="dxa"/>
            </w:tcMar>
          </w:tcPr>
          <w:p w:rsidR="00C64D74" w14:paraId="0F89EC04" w14:textId="77777777">
            <w:r>
              <w:rPr>
                <w:rFonts w:ascii="Calibri" w:eastAsia="Calibri" w:hAnsi="Calibri" w:cs="Calibri"/>
                <w:sz w:val="19"/>
                <w:szCs w:val="19"/>
              </w:rPr>
              <w:t>Record-to-Report Operations</w:t>
            </w:r>
          </w:p>
        </w:tc>
        <w:tc>
          <w:tcPr>
            <w:tcW w:w="0" w:type="auto"/>
            <w:tcMar>
              <w:top w:w="70" w:type="dxa"/>
              <w:left w:w="100" w:type="dxa"/>
              <w:bottom w:w="70" w:type="dxa"/>
              <w:right w:w="100" w:type="dxa"/>
            </w:tcMar>
          </w:tcPr>
          <w:p w:rsidR="00C64D74" w14:paraId="39301E22" w14:textId="77777777">
            <w:r>
              <w:rPr>
                <w:rFonts w:ascii="Calibri" w:eastAsia="Calibri" w:hAnsi="Calibri" w:cs="Calibri"/>
                <w:sz w:val="19"/>
                <w:szCs w:val="19"/>
              </w:rPr>
              <w:t>4 Years</w:t>
            </w:r>
          </w:p>
        </w:tc>
        <w:tc>
          <w:tcPr>
            <w:tcW w:w="0" w:type="auto"/>
            <w:tcMar>
              <w:top w:w="70" w:type="dxa"/>
              <w:left w:w="100" w:type="dxa"/>
              <w:bottom w:w="70" w:type="dxa"/>
              <w:right w:w="100" w:type="dxa"/>
            </w:tcMar>
          </w:tcPr>
          <w:p w:rsidR="00C64D74" w14:paraId="0600DF8A" w14:textId="77777777">
            <w:r>
              <w:rPr>
                <w:rFonts w:ascii="Calibri" w:eastAsia="Calibri" w:hAnsi="Calibri" w:cs="Calibri"/>
                <w:sz w:val="19"/>
                <w:szCs w:val="19"/>
              </w:rPr>
              <w:t>GL, Reconciliations, Fixed Assets, Financial Close</w:t>
            </w:r>
          </w:p>
        </w:tc>
      </w:tr>
    </w:tbl>
    <w:p w:rsidR="00C64D74" w14:paraId="249E01A2" w14:textId="77777777">
      <w:pPr>
        <w:pBdr>
          <w:bottom w:val="single" w:sz="8" w:space="3" w:color="1F3864"/>
        </w:pBdr>
        <w:spacing w:before="260" w:after="110"/>
      </w:pPr>
      <w:r>
        <w:rPr>
          <w:rFonts w:ascii="Cambria" w:eastAsia="Cambria" w:hAnsi="Cambria" w:cs="Cambria"/>
          <w:b/>
          <w:bCs/>
          <w:color w:val="1F3864"/>
          <w:spacing w:val="6"/>
          <w:sz w:val="24"/>
          <w:szCs w:val="24"/>
        </w:rPr>
        <w:t>PROFESSIONAL EXPERIENCE</w:t>
      </w:r>
    </w:p>
    <w:tbl>
      <w:tblPr>
        <w:tblW w:w="5000" w:type="pct"/>
        <w:tblCellMar>
          <w:left w:w="10" w:type="dxa"/>
          <w:right w:w="10" w:type="dxa"/>
        </w:tblCellMar>
        <w:tblLook w:val="04A0"/>
      </w:tblPr>
      <w:tblGrid>
        <w:gridCol w:w="7099"/>
        <w:gridCol w:w="3341"/>
      </w:tblGrid>
      <w:tr w14:paraId="245BB333" w14:textId="77777777">
        <w:tblPrEx>
          <w:tblW w:w="5000" w:type="pct"/>
          <w:tblCellMar>
            <w:left w:w="10" w:type="dxa"/>
            <w:right w:w="10" w:type="dxa"/>
          </w:tblCellMar>
          <w:tblLook w:val="04A0"/>
        </w:tblPrEx>
        <w:tc>
          <w:tcPr>
            <w:tcW w:w="3400" w:type="pct"/>
            <w:vAlign w:val="center"/>
          </w:tcPr>
          <w:p w:rsidR="00C64D74" w14:paraId="5CB1706D" w14:textId="77777777">
            <w:r>
              <w:rPr>
                <w:rFonts w:ascii="Calibri" w:eastAsia="Calibri" w:hAnsi="Calibri" w:cs="Calibri"/>
                <w:b/>
                <w:bCs/>
                <w:color w:val="1F3864"/>
                <w:sz w:val="22"/>
                <w:szCs w:val="22"/>
              </w:rPr>
              <w:t xml:space="preserve">Accenture </w:t>
            </w:r>
            <w:r>
              <w:rPr>
                <w:rFonts w:ascii="Calibri" w:eastAsia="Calibri" w:hAnsi="Calibri" w:cs="Calibri"/>
                <w:b/>
                <w:bCs/>
                <w:color w:val="1F3864"/>
                <w:sz w:val="22"/>
                <w:szCs w:val="22"/>
              </w:rPr>
              <w:t>Pvt.</w:t>
            </w:r>
            <w:r>
              <w:rPr>
                <w:rFonts w:ascii="Calibri" w:eastAsia="Calibri" w:hAnsi="Calibri" w:cs="Calibri"/>
                <w:b/>
                <w:bCs/>
                <w:color w:val="1F3864"/>
                <w:sz w:val="22"/>
                <w:szCs w:val="22"/>
              </w:rPr>
              <w:t xml:space="preserve"> Ltd. — Senior Consultant</w:t>
            </w:r>
          </w:p>
        </w:tc>
        <w:tc>
          <w:tcPr>
            <w:tcW w:w="1600" w:type="pct"/>
            <w:vAlign w:val="center"/>
          </w:tcPr>
          <w:p w:rsidR="00C64D74" w14:paraId="1E32F7DE" w14:textId="77777777">
            <w:pPr>
              <w:jc w:val="right"/>
            </w:pPr>
            <w:r>
              <w:rPr>
                <w:rFonts w:ascii="Calibri" w:eastAsia="Calibri" w:hAnsi="Calibri" w:cs="Calibri"/>
                <w:i/>
                <w:iCs/>
                <w:color w:val="595959"/>
              </w:rPr>
              <w:t>Feb 2018 – Apr 2025</w:t>
            </w:r>
          </w:p>
        </w:tc>
      </w:tr>
    </w:tbl>
    <w:p w:rsidR="00C64D74" w:rsidRPr="00AB7C22" w14:paraId="6CF6842A" w14:textId="68AA7AF3">
      <w:pPr>
        <w:spacing w:before="30" w:after="90"/>
        <w:rPr>
          <w:b/>
          <w:bCs/>
        </w:rPr>
      </w:pPr>
      <w:r w:rsidRPr="00AB7C22">
        <w:rPr>
          <w:rFonts w:ascii="Calibri" w:eastAsia="Calibri" w:hAnsi="Calibri" w:cs="Calibri"/>
          <w:b/>
          <w:bCs/>
          <w:i/>
          <w:iCs/>
          <w:color w:val="595959"/>
        </w:rPr>
        <w:t xml:space="preserve">Client: </w:t>
      </w:r>
      <w:r w:rsidRPr="00AB7C22" w:rsidR="00F9674D">
        <w:rPr>
          <w:rFonts w:ascii="Calibri" w:eastAsia="Calibri" w:hAnsi="Calibri" w:cs="Calibri"/>
          <w:b/>
          <w:bCs/>
          <w:i/>
          <w:iCs/>
          <w:color w:val="595959"/>
        </w:rPr>
        <w:t>BHP | SAP</w:t>
      </w:r>
      <w:r w:rsidRPr="00AB7C22">
        <w:rPr>
          <w:rFonts w:ascii="Calibri" w:eastAsia="Calibri" w:hAnsi="Calibri" w:cs="Calibri"/>
          <w:b/>
          <w:bCs/>
          <w:i/>
          <w:iCs/>
          <w:color w:val="595959"/>
        </w:rPr>
        <w:t xml:space="preserve"> CO — S/4HANA Implementation &amp; </w:t>
      </w:r>
      <w:r w:rsidRPr="00AB7C22" w:rsidR="00F9674D">
        <w:rPr>
          <w:rFonts w:ascii="Calibri" w:eastAsia="Calibri" w:hAnsi="Calibri" w:cs="Calibri"/>
          <w:b/>
          <w:bCs/>
          <w:i/>
          <w:iCs/>
          <w:color w:val="595959"/>
        </w:rPr>
        <w:t>Rollout | 3</w:t>
      </w:r>
      <w:r w:rsidRPr="00AB7C22">
        <w:rPr>
          <w:rFonts w:ascii="Calibri" w:eastAsia="Calibri" w:hAnsi="Calibri" w:cs="Calibri"/>
          <w:b/>
          <w:bCs/>
          <w:i/>
          <w:iCs/>
          <w:color w:val="595959"/>
        </w:rPr>
        <w:t xml:space="preserve"> Years</w:t>
      </w:r>
    </w:p>
    <w:p w:rsidR="00C64D74" w14:paraId="48393AE4" w14:textId="78A0A6FE">
      <w:pPr>
        <w:pStyle w:val="ListParagraph"/>
        <w:numPr>
          <w:ilvl w:val="0"/>
          <w:numId w:val="2"/>
        </w:numPr>
        <w:spacing w:after="70"/>
      </w:pPr>
      <w:r>
        <w:rPr>
          <w:rFonts w:ascii="Calibri" w:eastAsia="Calibri" w:hAnsi="Calibri" w:cs="Calibri"/>
          <w:sz w:val="21"/>
          <w:szCs w:val="21"/>
        </w:rPr>
        <w:t xml:space="preserve">Led CO configuration for Cost Center Accounting, Profit Center Accounting, Internal Orders, Product Costing, Material Ledger, and COPA across </w:t>
      </w:r>
      <w:r w:rsidR="00F9674D">
        <w:rPr>
          <w:rFonts w:ascii="Calibri" w:eastAsia="Calibri" w:hAnsi="Calibri" w:cs="Calibri"/>
          <w:b/>
          <w:bCs/>
          <w:color w:val="1F3864"/>
          <w:sz w:val="21"/>
          <w:szCs w:val="21"/>
        </w:rPr>
        <w:t>Australia and US entities</w:t>
      </w:r>
      <w:r>
        <w:rPr>
          <w:rFonts w:ascii="Calibri" w:eastAsia="Calibri" w:hAnsi="Calibri" w:cs="Calibri"/>
          <w:sz w:val="21"/>
          <w:szCs w:val="21"/>
        </w:rPr>
        <w:t xml:space="preserve"> as part of a global S/4HANA </w:t>
      </w:r>
      <w:r w:rsidR="00F9674D">
        <w:rPr>
          <w:rFonts w:ascii="Calibri" w:eastAsia="Calibri" w:hAnsi="Calibri" w:cs="Calibri"/>
          <w:sz w:val="21"/>
          <w:szCs w:val="21"/>
        </w:rPr>
        <w:t xml:space="preserve">implementation &amp; </w:t>
      </w:r>
      <w:r>
        <w:rPr>
          <w:rFonts w:ascii="Calibri" w:eastAsia="Calibri" w:hAnsi="Calibri" w:cs="Calibri"/>
          <w:sz w:val="21"/>
          <w:szCs w:val="21"/>
        </w:rPr>
        <w:t>rollout.</w:t>
      </w:r>
    </w:p>
    <w:p w:rsidR="00C64D74" w14:paraId="56950B94" w14:textId="3C20DB9E">
      <w:pPr>
        <w:pStyle w:val="ListParagraph"/>
        <w:numPr>
          <w:ilvl w:val="0"/>
          <w:numId w:val="2"/>
        </w:numPr>
        <w:spacing w:after="70"/>
      </w:pPr>
      <w:r>
        <w:rPr>
          <w:rFonts w:ascii="Calibri" w:eastAsia="Calibri" w:hAnsi="Calibri" w:cs="Calibri"/>
          <w:sz w:val="21"/>
          <w:szCs w:val="21"/>
        </w:rPr>
        <w:t>Gathered and translated business requirements from stakeholders across multiple regions into functional specifications</w:t>
      </w:r>
      <w:r w:rsidR="00F9674D">
        <w:rPr>
          <w:rFonts w:ascii="Calibri" w:eastAsia="Calibri" w:hAnsi="Calibri" w:cs="Calibri"/>
          <w:sz w:val="21"/>
          <w:szCs w:val="21"/>
        </w:rPr>
        <w:t>.</w:t>
      </w:r>
    </w:p>
    <w:p w:rsidR="00C64D74" w14:paraId="2EEA02EF" w14:textId="065E2273">
      <w:pPr>
        <w:pStyle w:val="ListParagraph"/>
        <w:numPr>
          <w:ilvl w:val="0"/>
          <w:numId w:val="2"/>
        </w:numPr>
        <w:spacing w:after="70"/>
      </w:pPr>
      <w:r>
        <w:rPr>
          <w:rFonts w:ascii="Calibri" w:eastAsia="Calibri" w:hAnsi="Calibri" w:cs="Calibri"/>
          <w:sz w:val="21"/>
          <w:szCs w:val="21"/>
        </w:rPr>
        <w:t xml:space="preserve">Authored Business Process Documents (BPD), Functional Specification Documents (FSD), and Configuration Design Documents (CDD), </w:t>
      </w:r>
      <w:r w:rsidR="00F9674D">
        <w:rPr>
          <w:rFonts w:ascii="Calibri" w:eastAsia="Calibri" w:hAnsi="Calibri" w:cs="Calibri"/>
          <w:sz w:val="21"/>
          <w:szCs w:val="21"/>
        </w:rPr>
        <w:t xml:space="preserve">by </w:t>
      </w:r>
      <w:r>
        <w:rPr>
          <w:rFonts w:ascii="Calibri" w:eastAsia="Calibri" w:hAnsi="Calibri" w:cs="Calibri"/>
          <w:sz w:val="21"/>
          <w:szCs w:val="21"/>
        </w:rPr>
        <w:t xml:space="preserve">ensuring </w:t>
      </w:r>
      <w:r w:rsidR="00F9674D">
        <w:rPr>
          <w:rFonts w:ascii="Calibri" w:eastAsia="Calibri" w:hAnsi="Calibri" w:cs="Calibri"/>
          <w:sz w:val="21"/>
          <w:szCs w:val="21"/>
        </w:rPr>
        <w:t xml:space="preserve">accuracy and </w:t>
      </w:r>
      <w:r>
        <w:rPr>
          <w:rFonts w:ascii="Calibri" w:eastAsia="Calibri" w:hAnsi="Calibri" w:cs="Calibri"/>
          <w:sz w:val="21"/>
          <w:szCs w:val="21"/>
        </w:rPr>
        <w:t>sign-off from business stakeholders.</w:t>
      </w:r>
    </w:p>
    <w:p w:rsidR="00C64D74" w14:paraId="627F6051" w14:textId="790513E4">
      <w:pPr>
        <w:pStyle w:val="ListParagraph"/>
        <w:numPr>
          <w:ilvl w:val="0"/>
          <w:numId w:val="2"/>
        </w:numPr>
        <w:spacing w:after="70"/>
      </w:pPr>
      <w:r>
        <w:rPr>
          <w:rFonts w:ascii="Calibri" w:eastAsia="Calibri" w:hAnsi="Calibri" w:cs="Calibri"/>
          <w:sz w:val="21"/>
          <w:szCs w:val="21"/>
        </w:rPr>
        <w:t>Partnered with FI, MM, SD, and PP teams to resolve cross-module integration gaps prior to System Integration Testing (SIT).</w:t>
      </w:r>
    </w:p>
    <w:p w:rsidR="00C64D74" w:rsidRPr="009341BF" w14:paraId="4B9EE6EE" w14:textId="5F03CC20">
      <w:pPr>
        <w:pStyle w:val="ListParagraph"/>
        <w:numPr>
          <w:ilvl w:val="0"/>
          <w:numId w:val="2"/>
        </w:numPr>
        <w:spacing w:after="70"/>
        <w:rPr>
          <w:rFonts w:ascii="Calibri" w:eastAsia="Calibri" w:hAnsi="Calibri" w:cs="Calibri"/>
          <w:sz w:val="21"/>
          <w:szCs w:val="21"/>
        </w:rPr>
      </w:pPr>
      <w:r>
        <w:rPr>
          <w:rFonts w:ascii="Calibri" w:eastAsia="Calibri" w:hAnsi="Calibri" w:cs="Calibri"/>
          <w:sz w:val="21"/>
          <w:szCs w:val="21"/>
        </w:rPr>
        <w:t xml:space="preserve">Validated master data (Cost Centers, Profit Centers, Internal Orders, Cost Elements) for </w:t>
      </w:r>
      <w:r w:rsidRPr="009341BF" w:rsidR="009341BF">
        <w:rPr>
          <w:rFonts w:ascii="Calibri" w:eastAsia="Calibri" w:hAnsi="Calibri" w:cs="Calibri"/>
          <w:sz w:val="21"/>
          <w:szCs w:val="21"/>
        </w:rPr>
        <w:t>country specific</w:t>
      </w:r>
      <w:r>
        <w:rPr>
          <w:rFonts w:ascii="Calibri" w:eastAsia="Calibri" w:hAnsi="Calibri" w:cs="Calibri"/>
          <w:sz w:val="21"/>
          <w:szCs w:val="21"/>
        </w:rPr>
        <w:t xml:space="preserve"> rollout locations,</w:t>
      </w:r>
      <w:r w:rsidR="009341BF">
        <w:rPr>
          <w:rFonts w:ascii="Calibri" w:eastAsia="Calibri" w:hAnsi="Calibri" w:cs="Calibri"/>
          <w:sz w:val="21"/>
          <w:szCs w:val="21"/>
        </w:rPr>
        <w:t xml:space="preserve"> by</w:t>
      </w:r>
      <w:r>
        <w:rPr>
          <w:rFonts w:ascii="Calibri" w:eastAsia="Calibri" w:hAnsi="Calibri" w:cs="Calibri"/>
          <w:sz w:val="21"/>
          <w:szCs w:val="21"/>
        </w:rPr>
        <w:t xml:space="preserve"> </w:t>
      </w:r>
      <w:r w:rsidR="009341BF">
        <w:rPr>
          <w:rFonts w:ascii="Calibri" w:eastAsia="Calibri" w:hAnsi="Calibri" w:cs="Calibri"/>
          <w:sz w:val="21"/>
          <w:szCs w:val="21"/>
        </w:rPr>
        <w:t>maintaining</w:t>
      </w:r>
      <w:r w:rsidRPr="009341BF">
        <w:rPr>
          <w:rFonts w:ascii="Calibri" w:eastAsia="Calibri" w:hAnsi="Calibri" w:cs="Calibri"/>
          <w:sz w:val="21"/>
          <w:szCs w:val="21"/>
        </w:rPr>
        <w:t xml:space="preserve"> data accuracy</w:t>
      </w:r>
      <w:r>
        <w:rPr>
          <w:rFonts w:ascii="Calibri" w:eastAsia="Calibri" w:hAnsi="Calibri" w:cs="Calibri"/>
          <w:sz w:val="21"/>
          <w:szCs w:val="21"/>
        </w:rPr>
        <w:t xml:space="preserve"> at cutover.</w:t>
      </w:r>
    </w:p>
    <w:p w:rsidR="00C64D74" w14:paraId="2A0E1AB2" w14:textId="1F6ABACE">
      <w:pPr>
        <w:pStyle w:val="ListParagraph"/>
        <w:numPr>
          <w:ilvl w:val="0"/>
          <w:numId w:val="2"/>
        </w:numPr>
        <w:spacing w:after="70"/>
      </w:pPr>
      <w:r>
        <w:rPr>
          <w:rFonts w:ascii="Calibri" w:eastAsia="Calibri" w:hAnsi="Calibri" w:cs="Calibri"/>
          <w:sz w:val="21"/>
          <w:szCs w:val="21"/>
        </w:rPr>
        <w:t>Coordinated Unit Testing, SIT, and UAT cycles</w:t>
      </w:r>
      <w:r w:rsidR="00B11FAB">
        <w:rPr>
          <w:rFonts w:ascii="Calibri" w:eastAsia="Calibri" w:hAnsi="Calibri" w:cs="Calibri"/>
          <w:sz w:val="21"/>
          <w:szCs w:val="21"/>
        </w:rPr>
        <w:t xml:space="preserve"> </w:t>
      </w:r>
      <w:r>
        <w:rPr>
          <w:rFonts w:ascii="Calibri" w:eastAsia="Calibri" w:hAnsi="Calibri" w:cs="Calibri"/>
          <w:sz w:val="21"/>
          <w:szCs w:val="21"/>
        </w:rPr>
        <w:t>and resolving defects prior to go-live with zero critical post-go-live incidents.</w:t>
      </w:r>
    </w:p>
    <w:p w:rsidR="00C64D74" w14:paraId="7A22D728" w14:textId="01DE8568">
      <w:pPr>
        <w:pStyle w:val="ListParagraph"/>
        <w:numPr>
          <w:ilvl w:val="0"/>
          <w:numId w:val="2"/>
        </w:numPr>
        <w:spacing w:after="70"/>
      </w:pPr>
      <w:r>
        <w:rPr>
          <w:rFonts w:ascii="Calibri" w:eastAsia="Calibri" w:hAnsi="Calibri" w:cs="Calibri"/>
          <w:sz w:val="21"/>
          <w:szCs w:val="21"/>
        </w:rPr>
        <w:t>Delivered end-user training and authored user manuals for CO processes, supporting business users</w:t>
      </w:r>
      <w:r w:rsidR="007173A2">
        <w:rPr>
          <w:rFonts w:ascii="Calibri" w:eastAsia="Calibri" w:hAnsi="Calibri" w:cs="Calibri"/>
          <w:sz w:val="21"/>
          <w:szCs w:val="21"/>
        </w:rPr>
        <w:t>.</w:t>
      </w:r>
    </w:p>
    <w:p w:rsidR="00C64D74" w:rsidRPr="007173A2" w14:paraId="25A51816" w14:textId="25DE536A">
      <w:pPr>
        <w:pStyle w:val="ListParagraph"/>
        <w:numPr>
          <w:ilvl w:val="0"/>
          <w:numId w:val="2"/>
        </w:numPr>
        <w:spacing w:after="70"/>
      </w:pPr>
      <w:r>
        <w:rPr>
          <w:rFonts w:ascii="Calibri" w:eastAsia="Calibri" w:hAnsi="Calibri" w:cs="Calibri"/>
          <w:sz w:val="21"/>
          <w:szCs w:val="21"/>
        </w:rPr>
        <w:t xml:space="preserve">Supported cutover planning and </w:t>
      </w:r>
      <w:r w:rsidR="007173A2">
        <w:rPr>
          <w:rFonts w:ascii="Calibri" w:eastAsia="Calibri" w:hAnsi="Calibri" w:cs="Calibri"/>
          <w:sz w:val="21"/>
          <w:szCs w:val="21"/>
        </w:rPr>
        <w:t>hyper care</w:t>
      </w:r>
      <w:r>
        <w:rPr>
          <w:rFonts w:ascii="Calibri" w:eastAsia="Calibri" w:hAnsi="Calibri" w:cs="Calibri"/>
          <w:sz w:val="21"/>
          <w:szCs w:val="21"/>
        </w:rPr>
        <w:t>, ensuring a stable transition from legacy systems with</w:t>
      </w:r>
      <w:r w:rsidR="007173A2">
        <w:rPr>
          <w:rFonts w:ascii="Calibri" w:eastAsia="Calibri" w:hAnsi="Calibri" w:cs="Calibri"/>
          <w:sz w:val="21"/>
          <w:szCs w:val="21"/>
        </w:rPr>
        <w:t>out</w:t>
      </w:r>
      <w:r>
        <w:rPr>
          <w:rFonts w:ascii="Calibri" w:eastAsia="Calibri" w:hAnsi="Calibri" w:cs="Calibri"/>
          <w:sz w:val="21"/>
          <w:szCs w:val="21"/>
        </w:rPr>
        <w:t xml:space="preserve"> escalations</w:t>
      </w:r>
      <w:r w:rsidR="007173A2">
        <w:rPr>
          <w:rFonts w:ascii="Calibri" w:eastAsia="Calibri" w:hAnsi="Calibri" w:cs="Calibri"/>
          <w:sz w:val="21"/>
          <w:szCs w:val="21"/>
        </w:rPr>
        <w:t xml:space="preserve"> and resolved</w:t>
      </w:r>
      <w:r>
        <w:rPr>
          <w:rFonts w:ascii="Calibri" w:eastAsia="Calibri" w:hAnsi="Calibri" w:cs="Calibri"/>
          <w:sz w:val="21"/>
          <w:szCs w:val="21"/>
        </w:rPr>
        <w:t xml:space="preserve"> within SLA during the stabilization window.</w:t>
      </w:r>
    </w:p>
    <w:p w:rsidR="007173A2" w:rsidP="007173A2" w14:paraId="01358305" w14:textId="77777777">
      <w:pPr>
        <w:pStyle w:val="ListParagraph"/>
        <w:spacing w:after="70"/>
        <w:ind w:left="403"/>
      </w:pPr>
    </w:p>
    <w:p w:rsidR="00C64D74" w:rsidRPr="00AB7C22" w14:paraId="4999D5E3" w14:textId="40A5E920">
      <w:pPr>
        <w:spacing w:before="30" w:after="90"/>
        <w:rPr>
          <w:b/>
          <w:bCs/>
          <w:sz w:val="22"/>
          <w:szCs w:val="22"/>
        </w:rPr>
      </w:pPr>
      <w:r w:rsidRPr="00AB7C22">
        <w:rPr>
          <w:rFonts w:ascii="Calibri" w:eastAsia="Calibri" w:hAnsi="Calibri" w:cs="Calibri"/>
          <w:b/>
          <w:bCs/>
          <w:i/>
          <w:iCs/>
          <w:color w:val="595959"/>
          <w:sz w:val="22"/>
          <w:szCs w:val="22"/>
        </w:rPr>
        <w:t xml:space="preserve">Client: </w:t>
      </w:r>
      <w:r w:rsidRPr="00AB7C22" w:rsidR="007173A2">
        <w:rPr>
          <w:rFonts w:ascii="Calibri" w:eastAsia="Calibri" w:hAnsi="Calibri" w:cs="Calibri"/>
          <w:b/>
          <w:bCs/>
          <w:i/>
          <w:iCs/>
          <w:color w:val="595959"/>
          <w:sz w:val="22"/>
          <w:szCs w:val="22"/>
        </w:rPr>
        <w:t>Unilever | SAP</w:t>
      </w:r>
      <w:r w:rsidRPr="00AB7C22">
        <w:rPr>
          <w:rFonts w:ascii="Calibri" w:eastAsia="Calibri" w:hAnsi="Calibri" w:cs="Calibri"/>
          <w:b/>
          <w:bCs/>
          <w:i/>
          <w:iCs/>
          <w:color w:val="595959"/>
          <w:sz w:val="22"/>
          <w:szCs w:val="22"/>
        </w:rPr>
        <w:t xml:space="preserve"> CO — S/4HANA Production </w:t>
      </w:r>
      <w:r w:rsidRPr="00AB7C22" w:rsidR="007173A2">
        <w:rPr>
          <w:rFonts w:ascii="Calibri" w:eastAsia="Calibri" w:hAnsi="Calibri" w:cs="Calibri"/>
          <w:b/>
          <w:bCs/>
          <w:i/>
          <w:iCs/>
          <w:color w:val="595959"/>
          <w:sz w:val="22"/>
          <w:szCs w:val="22"/>
        </w:rPr>
        <w:t>Support | 4</w:t>
      </w:r>
      <w:r w:rsidRPr="00AB7C22">
        <w:rPr>
          <w:rFonts w:ascii="Calibri" w:eastAsia="Calibri" w:hAnsi="Calibri" w:cs="Calibri"/>
          <w:b/>
          <w:bCs/>
          <w:i/>
          <w:iCs/>
          <w:color w:val="595959"/>
          <w:sz w:val="22"/>
          <w:szCs w:val="22"/>
        </w:rPr>
        <w:t xml:space="preserve"> Years</w:t>
      </w:r>
    </w:p>
    <w:p w:rsidR="00C64D74" w:rsidRPr="00E94656" w14:paraId="2DAF53C3" w14:textId="043EDE9E">
      <w:pPr>
        <w:pStyle w:val="ListParagraph"/>
        <w:numPr>
          <w:ilvl w:val="0"/>
          <w:numId w:val="2"/>
        </w:numPr>
        <w:spacing w:after="70"/>
        <w:rPr>
          <w:rFonts w:ascii="Calibri" w:eastAsia="Calibri" w:hAnsi="Calibri" w:cs="Calibri"/>
          <w:sz w:val="21"/>
          <w:szCs w:val="21"/>
        </w:rPr>
      </w:pPr>
      <w:r>
        <w:rPr>
          <w:rFonts w:ascii="Calibri" w:eastAsia="Calibri" w:hAnsi="Calibri" w:cs="Calibri"/>
          <w:sz w:val="21"/>
          <w:szCs w:val="21"/>
        </w:rPr>
        <w:t xml:space="preserve">Managed day-to-day incidents, service requests, and change requests via ServiceNow, sustaining </w:t>
      </w:r>
      <w:r w:rsidRPr="00E94656" w:rsidR="00E94656">
        <w:rPr>
          <w:rFonts w:ascii="Calibri" w:eastAsia="Calibri" w:hAnsi="Calibri" w:cs="Calibri"/>
          <w:sz w:val="21"/>
          <w:szCs w:val="21"/>
        </w:rPr>
        <w:t>100%</w:t>
      </w:r>
      <w:r w:rsidRPr="00E94656">
        <w:rPr>
          <w:rFonts w:ascii="Calibri" w:eastAsia="Calibri" w:hAnsi="Calibri" w:cs="Calibri"/>
          <w:sz w:val="21"/>
          <w:szCs w:val="21"/>
        </w:rPr>
        <w:t xml:space="preserve"> SLA compliance</w:t>
      </w:r>
      <w:r>
        <w:rPr>
          <w:rFonts w:ascii="Calibri" w:eastAsia="Calibri" w:hAnsi="Calibri" w:cs="Calibri"/>
          <w:sz w:val="21"/>
          <w:szCs w:val="21"/>
        </w:rPr>
        <w:t xml:space="preserve"> across </w:t>
      </w:r>
      <w:r w:rsidR="00E94656">
        <w:rPr>
          <w:rFonts w:ascii="Calibri" w:eastAsia="Calibri" w:hAnsi="Calibri" w:cs="Calibri"/>
          <w:sz w:val="21"/>
          <w:szCs w:val="21"/>
        </w:rPr>
        <w:t>regions.</w:t>
      </w:r>
    </w:p>
    <w:p w:rsidR="00C64D74" w14:paraId="3A2D21B4" w14:textId="2E9B9695">
      <w:pPr>
        <w:pStyle w:val="ListParagraph"/>
        <w:numPr>
          <w:ilvl w:val="0"/>
          <w:numId w:val="2"/>
        </w:numPr>
        <w:spacing w:after="70"/>
      </w:pPr>
      <w:r>
        <w:rPr>
          <w:rFonts w:ascii="Calibri" w:eastAsia="Calibri" w:hAnsi="Calibri" w:cs="Calibri"/>
          <w:sz w:val="21"/>
          <w:szCs w:val="21"/>
        </w:rPr>
        <w:t xml:space="preserve">Performed root cause analysis (RCA) on recurring CCA, PCA, and COPA issues, implementing permanent fixes </w:t>
      </w:r>
      <w:r w:rsidR="00E94656">
        <w:rPr>
          <w:rFonts w:ascii="Calibri" w:eastAsia="Calibri" w:hAnsi="Calibri" w:cs="Calibri"/>
          <w:sz w:val="21"/>
          <w:szCs w:val="21"/>
        </w:rPr>
        <w:t>for the incidents.</w:t>
      </w:r>
    </w:p>
    <w:p w:rsidR="00C64D74" w14:paraId="7072C344" w14:textId="095FFFD2">
      <w:pPr>
        <w:pStyle w:val="ListParagraph"/>
        <w:numPr>
          <w:ilvl w:val="0"/>
          <w:numId w:val="2"/>
        </w:numPr>
        <w:spacing w:after="70"/>
      </w:pPr>
      <w:r>
        <w:rPr>
          <w:rFonts w:ascii="Calibri" w:eastAsia="Calibri" w:hAnsi="Calibri" w:cs="Calibri"/>
          <w:sz w:val="21"/>
          <w:szCs w:val="21"/>
        </w:rPr>
        <w:t xml:space="preserve">Owned month-end and period-end close support cost allocations, settlements, assessments, distributions, and variance calculations </w:t>
      </w:r>
      <w:r w:rsidR="008E3F2C">
        <w:rPr>
          <w:rFonts w:ascii="Calibri" w:eastAsia="Calibri" w:hAnsi="Calibri" w:cs="Calibri"/>
          <w:sz w:val="21"/>
          <w:szCs w:val="21"/>
        </w:rPr>
        <w:t xml:space="preserve">by </w:t>
      </w:r>
      <w:r>
        <w:rPr>
          <w:rFonts w:ascii="Calibri" w:eastAsia="Calibri" w:hAnsi="Calibri" w:cs="Calibri"/>
          <w:sz w:val="21"/>
          <w:szCs w:val="21"/>
        </w:rPr>
        <w:t>reducing close-related defects and shortening close timelines</w:t>
      </w:r>
      <w:r w:rsidR="008E3F2C">
        <w:rPr>
          <w:rFonts w:ascii="Calibri" w:eastAsia="Calibri" w:hAnsi="Calibri" w:cs="Calibri"/>
          <w:sz w:val="21"/>
          <w:szCs w:val="21"/>
        </w:rPr>
        <w:t>.</w:t>
      </w:r>
    </w:p>
    <w:p w:rsidR="00C64D74" w14:paraId="7DB9EF7A" w14:textId="0E15AC82">
      <w:pPr>
        <w:pStyle w:val="ListParagraph"/>
        <w:numPr>
          <w:ilvl w:val="0"/>
          <w:numId w:val="2"/>
        </w:numPr>
        <w:spacing w:after="70"/>
      </w:pPr>
      <w:r>
        <w:rPr>
          <w:rFonts w:ascii="Calibri" w:eastAsia="Calibri" w:hAnsi="Calibri" w:cs="Calibri"/>
          <w:sz w:val="21"/>
          <w:szCs w:val="21"/>
        </w:rPr>
        <w:t>Resolved Material Ledger and Actual Costing issues, troubleshooting price determination and inventory valuation discrepancies</w:t>
      </w:r>
      <w:r w:rsidR="008E3F2C">
        <w:rPr>
          <w:rFonts w:ascii="Calibri" w:eastAsia="Calibri" w:hAnsi="Calibri" w:cs="Calibri"/>
          <w:sz w:val="21"/>
          <w:szCs w:val="21"/>
        </w:rPr>
        <w:t>.</w:t>
      </w:r>
    </w:p>
    <w:p w:rsidR="00C64D74" w14:paraId="61250B30" w14:textId="53B139ED">
      <w:pPr>
        <w:pStyle w:val="ListParagraph"/>
        <w:numPr>
          <w:ilvl w:val="0"/>
          <w:numId w:val="2"/>
        </w:numPr>
        <w:spacing w:after="70"/>
      </w:pPr>
      <w:r>
        <w:rPr>
          <w:rFonts w:ascii="Calibri" w:eastAsia="Calibri" w:hAnsi="Calibri" w:cs="Calibri"/>
          <w:sz w:val="21"/>
          <w:szCs w:val="21"/>
        </w:rPr>
        <w:t>Replicated and diagnosed business-reported issues in test environments, reducing average issue-resolution time</w:t>
      </w:r>
      <w:r w:rsidR="00E152A5">
        <w:rPr>
          <w:rFonts w:ascii="Calibri" w:eastAsia="Calibri" w:hAnsi="Calibri" w:cs="Calibri"/>
          <w:sz w:val="21"/>
          <w:szCs w:val="21"/>
        </w:rPr>
        <w:t>.</w:t>
      </w:r>
    </w:p>
    <w:p w:rsidR="00C64D74" w14:paraId="652B119E" w14:textId="7C68224C">
      <w:pPr>
        <w:pStyle w:val="ListParagraph"/>
        <w:numPr>
          <w:ilvl w:val="0"/>
          <w:numId w:val="2"/>
        </w:numPr>
        <w:spacing w:after="70"/>
      </w:pPr>
      <w:r>
        <w:rPr>
          <w:rFonts w:ascii="Calibri" w:eastAsia="Calibri" w:hAnsi="Calibri" w:cs="Calibri"/>
          <w:sz w:val="21"/>
          <w:szCs w:val="21"/>
        </w:rPr>
        <w:t>Conducted impact analysis and unit testing</w:t>
      </w:r>
      <w:r w:rsidR="00E152A5">
        <w:rPr>
          <w:rFonts w:ascii="Calibri" w:eastAsia="Calibri" w:hAnsi="Calibri" w:cs="Calibri"/>
          <w:sz w:val="21"/>
          <w:szCs w:val="21"/>
        </w:rPr>
        <w:t xml:space="preserve">, </w:t>
      </w:r>
      <w:r>
        <w:rPr>
          <w:rFonts w:ascii="Calibri" w:eastAsia="Calibri" w:hAnsi="Calibri" w:cs="Calibri"/>
          <w:sz w:val="21"/>
          <w:szCs w:val="21"/>
        </w:rPr>
        <w:t>change requests prior to production transport</w:t>
      </w:r>
      <w:r w:rsidR="00E152A5">
        <w:rPr>
          <w:rFonts w:ascii="Calibri" w:eastAsia="Calibri" w:hAnsi="Calibri" w:cs="Calibri"/>
          <w:sz w:val="21"/>
          <w:szCs w:val="21"/>
        </w:rPr>
        <w:t>.</w:t>
      </w:r>
    </w:p>
    <w:p w:rsidR="00C64D74" w14:paraId="404FCACB" w14:textId="3D688273">
      <w:pPr>
        <w:pStyle w:val="ListParagraph"/>
        <w:numPr>
          <w:ilvl w:val="0"/>
          <w:numId w:val="2"/>
        </w:numPr>
        <w:spacing w:after="70"/>
      </w:pPr>
      <w:r>
        <w:rPr>
          <w:rFonts w:ascii="Calibri" w:eastAsia="Calibri" w:hAnsi="Calibri" w:cs="Calibri"/>
          <w:sz w:val="21"/>
          <w:szCs w:val="21"/>
        </w:rPr>
        <w:t>Collaborated with FI, MM, SD, and PP teams to resolve integration-related defects, cutting cross-module ticket aging</w:t>
      </w:r>
      <w:r w:rsidR="00E152A5">
        <w:rPr>
          <w:rFonts w:ascii="Calibri" w:eastAsia="Calibri" w:hAnsi="Calibri" w:cs="Calibri"/>
          <w:sz w:val="21"/>
          <w:szCs w:val="21"/>
        </w:rPr>
        <w:t>.</w:t>
      </w:r>
    </w:p>
    <w:p w:rsidR="00C64D74" w:rsidRPr="00DA5190" w14:paraId="502392E7" w14:textId="4487CA2B">
      <w:pPr>
        <w:pStyle w:val="ListParagraph"/>
        <w:numPr>
          <w:ilvl w:val="0"/>
          <w:numId w:val="2"/>
        </w:numPr>
        <w:spacing w:after="70"/>
      </w:pPr>
      <w:r>
        <w:rPr>
          <w:rFonts w:ascii="Calibri" w:eastAsia="Calibri" w:hAnsi="Calibri" w:cs="Calibri"/>
          <w:sz w:val="21"/>
          <w:szCs w:val="21"/>
        </w:rPr>
        <w:t>Presented ticket status, aging analysis, and process-improvement recommendations in periodic client governance calls</w:t>
      </w:r>
      <w:r w:rsidR="00DA5190">
        <w:rPr>
          <w:rFonts w:ascii="Calibri" w:eastAsia="Calibri" w:hAnsi="Calibri" w:cs="Calibri"/>
          <w:sz w:val="21"/>
          <w:szCs w:val="21"/>
        </w:rPr>
        <w:t>.</w:t>
      </w:r>
    </w:p>
    <w:p w:rsidR="00DA5190" w:rsidP="00DA5190" w14:paraId="2863B3AE" w14:textId="77777777">
      <w:pPr>
        <w:pStyle w:val="ListParagraph"/>
        <w:spacing w:after="70"/>
        <w:ind w:left="403"/>
      </w:pPr>
    </w:p>
    <w:tbl>
      <w:tblPr>
        <w:tblW w:w="5000" w:type="pct"/>
        <w:tblCellMar>
          <w:left w:w="10" w:type="dxa"/>
          <w:right w:w="10" w:type="dxa"/>
        </w:tblCellMar>
        <w:tblLook w:val="04A0"/>
      </w:tblPr>
      <w:tblGrid>
        <w:gridCol w:w="7099"/>
        <w:gridCol w:w="3341"/>
      </w:tblGrid>
      <w:tr w14:paraId="5C2839A4" w14:textId="77777777">
        <w:tblPrEx>
          <w:tblW w:w="5000" w:type="pct"/>
          <w:tblCellMar>
            <w:left w:w="10" w:type="dxa"/>
            <w:right w:w="10" w:type="dxa"/>
          </w:tblCellMar>
          <w:tblLook w:val="04A0"/>
        </w:tblPrEx>
        <w:tc>
          <w:tcPr>
            <w:tcW w:w="3400" w:type="pct"/>
            <w:vAlign w:val="center"/>
          </w:tcPr>
          <w:p w:rsidR="00C64D74" w:rsidRPr="00AB7C22" w14:paraId="7FC79ADB" w14:textId="0929ACFA">
            <w:r w:rsidRPr="00AB7C22">
              <w:rPr>
                <w:rFonts w:ascii="Calibri" w:eastAsia="Calibri" w:hAnsi="Calibri" w:cs="Calibri"/>
                <w:b/>
                <w:bCs/>
                <w:color w:val="1F3864"/>
                <w:sz w:val="22"/>
                <w:szCs w:val="22"/>
              </w:rPr>
              <w:t xml:space="preserve">Capgemini India </w:t>
            </w:r>
            <w:r w:rsidRPr="00AB7C22">
              <w:rPr>
                <w:rFonts w:ascii="Calibri" w:eastAsia="Calibri" w:hAnsi="Calibri" w:cs="Calibri"/>
                <w:b/>
                <w:bCs/>
                <w:color w:val="1F3864"/>
                <w:sz w:val="22"/>
                <w:szCs w:val="22"/>
              </w:rPr>
              <w:t>Pvt.</w:t>
            </w:r>
            <w:r w:rsidRPr="00AB7C22">
              <w:rPr>
                <w:rFonts w:ascii="Calibri" w:eastAsia="Calibri" w:hAnsi="Calibri" w:cs="Calibri"/>
                <w:b/>
                <w:bCs/>
                <w:color w:val="1F3864"/>
                <w:sz w:val="22"/>
                <w:szCs w:val="22"/>
              </w:rPr>
              <w:t xml:space="preserve"> Ltd. — </w:t>
            </w:r>
            <w:r w:rsidRPr="00AB7C22" w:rsidR="00A35464">
              <w:rPr>
                <w:rFonts w:ascii="Calibri" w:eastAsia="Calibri" w:hAnsi="Calibri" w:cs="Calibri"/>
                <w:b/>
                <w:bCs/>
                <w:color w:val="1F3864"/>
                <w:sz w:val="22"/>
                <w:szCs w:val="22"/>
              </w:rPr>
              <w:t xml:space="preserve">Senior </w:t>
            </w:r>
            <w:r w:rsidRPr="00AB7C22">
              <w:rPr>
                <w:rFonts w:ascii="Calibri" w:eastAsia="Calibri" w:hAnsi="Calibri" w:cs="Calibri"/>
                <w:b/>
                <w:bCs/>
                <w:color w:val="1F3864"/>
                <w:sz w:val="22"/>
                <w:szCs w:val="22"/>
              </w:rPr>
              <w:t>Process Associate</w:t>
            </w:r>
          </w:p>
        </w:tc>
        <w:tc>
          <w:tcPr>
            <w:tcW w:w="1600" w:type="pct"/>
            <w:vAlign w:val="center"/>
          </w:tcPr>
          <w:p w:rsidR="00C64D74" w14:paraId="278CB5D3" w14:textId="77777777">
            <w:pPr>
              <w:jc w:val="right"/>
            </w:pPr>
            <w:r>
              <w:rPr>
                <w:rFonts w:ascii="Calibri" w:eastAsia="Calibri" w:hAnsi="Calibri" w:cs="Calibri"/>
                <w:i/>
                <w:iCs/>
                <w:color w:val="595959"/>
              </w:rPr>
              <w:t>May 2014 – Feb 2018</w:t>
            </w:r>
          </w:p>
        </w:tc>
      </w:tr>
    </w:tbl>
    <w:p w:rsidR="00C64D74" w:rsidRPr="00AB7C22" w14:paraId="0E382831" w14:textId="77777777">
      <w:pPr>
        <w:spacing w:before="30" w:after="90"/>
        <w:rPr>
          <w:b/>
          <w:bCs/>
        </w:rPr>
      </w:pPr>
      <w:r w:rsidRPr="00AB7C22">
        <w:rPr>
          <w:rFonts w:ascii="Calibri" w:eastAsia="Calibri" w:hAnsi="Calibri" w:cs="Calibri"/>
          <w:b/>
          <w:bCs/>
          <w:i/>
          <w:iCs/>
          <w:color w:val="595959"/>
        </w:rPr>
        <w:t>Record to Report (R2R) Operations</w:t>
      </w:r>
    </w:p>
    <w:p w:rsidR="00C64D74" w14:paraId="1B6A8A96" w14:textId="2BE5384D">
      <w:pPr>
        <w:pStyle w:val="ListParagraph"/>
        <w:numPr>
          <w:ilvl w:val="0"/>
          <w:numId w:val="2"/>
        </w:numPr>
        <w:spacing w:after="70"/>
      </w:pPr>
      <w:r>
        <w:rPr>
          <w:rFonts w:ascii="Calibri" w:eastAsia="Calibri" w:hAnsi="Calibri" w:cs="Calibri"/>
          <w:sz w:val="21"/>
          <w:szCs w:val="21"/>
        </w:rPr>
        <w:t>Executed Record-to-Report operations including general ledger maintenance, journal entry preparation, and month-end financial close support for</w:t>
      </w:r>
      <w:r w:rsidR="00A35464">
        <w:rPr>
          <w:rFonts w:ascii="Calibri" w:eastAsia="Calibri" w:hAnsi="Calibri" w:cs="Calibri"/>
          <w:sz w:val="21"/>
          <w:szCs w:val="21"/>
        </w:rPr>
        <w:t xml:space="preserve"> US </w:t>
      </w:r>
      <w:r>
        <w:rPr>
          <w:rFonts w:ascii="Calibri" w:eastAsia="Calibri" w:hAnsi="Calibri" w:cs="Calibri"/>
          <w:sz w:val="21"/>
          <w:szCs w:val="21"/>
        </w:rPr>
        <w:t>entities</w:t>
      </w:r>
      <w:r w:rsidR="00A35464">
        <w:rPr>
          <w:rFonts w:ascii="Calibri" w:eastAsia="Calibri" w:hAnsi="Calibri" w:cs="Calibri"/>
          <w:sz w:val="21"/>
          <w:szCs w:val="21"/>
        </w:rPr>
        <w:t>.</w:t>
      </w:r>
    </w:p>
    <w:p w:rsidR="00C64D74" w14:paraId="61536B77" w14:textId="13ADAFC0">
      <w:pPr>
        <w:pStyle w:val="ListParagraph"/>
        <w:numPr>
          <w:ilvl w:val="0"/>
          <w:numId w:val="2"/>
        </w:numPr>
        <w:spacing w:after="70"/>
      </w:pPr>
      <w:r>
        <w:rPr>
          <w:rFonts w:ascii="Calibri" w:eastAsia="Calibri" w:hAnsi="Calibri" w:cs="Calibri"/>
          <w:sz w:val="21"/>
          <w:szCs w:val="21"/>
        </w:rPr>
        <w:t>Performed intercompany (IC) and bank reconciliations, identifying and resolving variances, cutting unreconciled open-item aging.</w:t>
      </w:r>
    </w:p>
    <w:p w:rsidR="00C64D74" w14:paraId="584E9F4D" w14:textId="145C6DDC">
      <w:pPr>
        <w:pStyle w:val="ListParagraph"/>
        <w:numPr>
          <w:ilvl w:val="0"/>
          <w:numId w:val="2"/>
        </w:numPr>
        <w:spacing w:after="70"/>
      </w:pPr>
      <w:r>
        <w:rPr>
          <w:rFonts w:ascii="Calibri" w:eastAsia="Calibri" w:hAnsi="Calibri" w:cs="Calibri"/>
          <w:sz w:val="21"/>
          <w:szCs w:val="21"/>
        </w:rPr>
        <w:t xml:space="preserve">Managed accruals and provisions calculation, posting, and timely reversal </w:t>
      </w:r>
      <w:r w:rsidR="00BD4E93">
        <w:rPr>
          <w:rFonts w:ascii="Calibri" w:eastAsia="Calibri" w:hAnsi="Calibri" w:cs="Calibri"/>
          <w:sz w:val="21"/>
          <w:szCs w:val="21"/>
        </w:rPr>
        <w:t xml:space="preserve">by </w:t>
      </w:r>
      <w:r>
        <w:rPr>
          <w:rFonts w:ascii="Calibri" w:eastAsia="Calibri" w:hAnsi="Calibri" w:cs="Calibri"/>
          <w:sz w:val="21"/>
          <w:szCs w:val="21"/>
        </w:rPr>
        <w:t>improving period-reporting accuracy and reducing late postings</w:t>
      </w:r>
      <w:r w:rsidR="00BD4E93">
        <w:rPr>
          <w:rFonts w:ascii="Calibri" w:eastAsia="Calibri" w:hAnsi="Calibri" w:cs="Calibri"/>
          <w:sz w:val="21"/>
          <w:szCs w:val="21"/>
        </w:rPr>
        <w:t>.</w:t>
      </w:r>
    </w:p>
    <w:p w:rsidR="00C64D74" w14:paraId="5B423C77" w14:textId="77777777">
      <w:pPr>
        <w:pStyle w:val="ListParagraph"/>
        <w:numPr>
          <w:ilvl w:val="0"/>
          <w:numId w:val="2"/>
        </w:numPr>
        <w:spacing w:after="70"/>
      </w:pPr>
      <w:r>
        <w:rPr>
          <w:rFonts w:ascii="Calibri" w:eastAsia="Calibri" w:hAnsi="Calibri" w:cs="Calibri"/>
          <w:sz w:val="21"/>
          <w:szCs w:val="21"/>
        </w:rPr>
        <w:t>Maintained the fixed asset register, processing capitalizations, depreciation runs, transfers, and disposals with full audit traceability.</w:t>
      </w:r>
    </w:p>
    <w:p w:rsidR="00C64D74" w14:paraId="171685DD" w14:textId="4DC6B2BC">
      <w:pPr>
        <w:pStyle w:val="ListParagraph"/>
        <w:numPr>
          <w:ilvl w:val="0"/>
          <w:numId w:val="2"/>
        </w:numPr>
        <w:spacing w:after="70"/>
      </w:pPr>
      <w:r>
        <w:rPr>
          <w:rFonts w:ascii="Calibri" w:eastAsia="Calibri" w:hAnsi="Calibri" w:cs="Calibri"/>
          <w:sz w:val="21"/>
          <w:szCs w:val="21"/>
        </w:rPr>
        <w:t>Prepared and reviewed balance sheet reconciliations across accounts, achieving zero audit findings across consecutive audit cycles.</w:t>
      </w:r>
    </w:p>
    <w:p w:rsidR="00C64D74" w14:paraId="43610843" w14:textId="77777777">
      <w:pPr>
        <w:pBdr>
          <w:bottom w:val="single" w:sz="8" w:space="3" w:color="1F3864"/>
        </w:pBdr>
        <w:spacing w:before="260" w:after="110"/>
      </w:pPr>
      <w:r>
        <w:rPr>
          <w:rFonts w:ascii="Cambria" w:eastAsia="Cambria" w:hAnsi="Cambria" w:cs="Cambria"/>
          <w:b/>
          <w:bCs/>
          <w:color w:val="1F3864"/>
          <w:spacing w:val="6"/>
          <w:sz w:val="24"/>
          <w:szCs w:val="24"/>
        </w:rPr>
        <w:t>KEY ACHIEVEMENTS</w:t>
      </w:r>
    </w:p>
    <w:p w:rsidR="00C64D74" w14:paraId="7C86D026" w14:textId="49268F88">
      <w:pPr>
        <w:pStyle w:val="ListParagraph"/>
        <w:numPr>
          <w:ilvl w:val="0"/>
          <w:numId w:val="2"/>
        </w:numPr>
        <w:spacing w:after="70"/>
      </w:pPr>
      <w:r>
        <w:rPr>
          <w:rFonts w:ascii="Calibri" w:eastAsia="Calibri" w:hAnsi="Calibri" w:cs="Calibri"/>
          <w:sz w:val="21"/>
          <w:szCs w:val="21"/>
        </w:rPr>
        <w:t>Reduced recurring production issues through systematic root-cause analysis on the Unilever production support account.</w:t>
      </w:r>
    </w:p>
    <w:p w:rsidR="00C64D74" w14:paraId="5AEC2B87" w14:textId="675D2015">
      <w:pPr>
        <w:pStyle w:val="ListParagraph"/>
        <w:numPr>
          <w:ilvl w:val="0"/>
          <w:numId w:val="2"/>
        </w:numPr>
        <w:spacing w:after="70"/>
      </w:pPr>
      <w:r>
        <w:rPr>
          <w:rFonts w:ascii="Calibri" w:eastAsia="Calibri" w:hAnsi="Calibri" w:cs="Calibri"/>
          <w:sz w:val="21"/>
          <w:szCs w:val="21"/>
        </w:rPr>
        <w:t>Improved month-end closing efficiency, cutting close cycle.</w:t>
      </w:r>
    </w:p>
    <w:p w:rsidR="00C64D74" w14:paraId="314EBF46" w14:textId="47D709CA">
      <w:pPr>
        <w:pStyle w:val="ListParagraph"/>
        <w:numPr>
          <w:ilvl w:val="0"/>
          <w:numId w:val="2"/>
        </w:numPr>
        <w:spacing w:after="70"/>
      </w:pPr>
      <w:r>
        <w:rPr>
          <w:rFonts w:ascii="Calibri" w:eastAsia="Calibri" w:hAnsi="Calibri" w:cs="Calibri"/>
          <w:sz w:val="21"/>
          <w:szCs w:val="21"/>
        </w:rPr>
        <w:t xml:space="preserve">Recognized for critical issue resolution during </w:t>
      </w:r>
      <w:r w:rsidR="00BD4E93">
        <w:rPr>
          <w:rFonts w:ascii="Calibri" w:eastAsia="Calibri" w:hAnsi="Calibri" w:cs="Calibri"/>
          <w:sz w:val="21"/>
          <w:szCs w:val="21"/>
        </w:rPr>
        <w:t>cutover, hyper care and go-live.</w:t>
      </w:r>
    </w:p>
    <w:p w:rsidR="00C64D74" w14:paraId="350CA31E" w14:textId="445061FD">
      <w:pPr>
        <w:pStyle w:val="ListParagraph"/>
        <w:numPr>
          <w:ilvl w:val="0"/>
          <w:numId w:val="2"/>
        </w:numPr>
        <w:spacing w:after="70"/>
      </w:pPr>
      <w:r>
        <w:rPr>
          <w:rFonts w:ascii="Calibri" w:eastAsia="Calibri" w:hAnsi="Calibri" w:cs="Calibri"/>
          <w:sz w:val="21"/>
          <w:szCs w:val="21"/>
        </w:rPr>
        <w:t>Delivered S/4HANA CO rollout with zero critical post-go-live defects.</w:t>
      </w:r>
    </w:p>
    <w:p w:rsidR="00C64D74" w:rsidRPr="009A5A87" w14:paraId="40DA82B3" w14:textId="5F7C34F7">
      <w:pPr>
        <w:pStyle w:val="ListParagraph"/>
        <w:numPr>
          <w:ilvl w:val="0"/>
          <w:numId w:val="2"/>
        </w:numPr>
        <w:spacing w:after="70"/>
      </w:pPr>
      <w:r>
        <w:rPr>
          <w:rFonts w:ascii="Calibri" w:eastAsia="Calibri" w:hAnsi="Calibri" w:cs="Calibri"/>
          <w:sz w:val="21"/>
          <w:szCs w:val="21"/>
        </w:rPr>
        <w:t>Maintained across a high-volume production support ticket queue for 4 consecutive years.</w:t>
      </w:r>
    </w:p>
    <w:p w:rsidR="009A5A87" w:rsidP="009A5A87" w14:paraId="3B08BF8C" w14:textId="77777777">
      <w:pPr>
        <w:pStyle w:val="ListParagraph"/>
        <w:spacing w:after="70"/>
        <w:ind w:left="403"/>
      </w:pPr>
    </w:p>
    <w:p w:rsidR="00C64D74" w14:paraId="19D4EDD6" w14:textId="021CECDB">
      <w:pPr>
        <w:pBdr>
          <w:bottom w:val="single" w:sz="8" w:space="3" w:color="1F3864"/>
        </w:pBdr>
        <w:spacing w:before="260" w:after="110"/>
      </w:pPr>
      <w:r>
        <w:rPr>
          <w:rFonts w:ascii="Cambria" w:eastAsia="Cambria" w:hAnsi="Cambria" w:cs="Cambria"/>
          <w:b/>
          <w:bCs/>
          <w:color w:val="1F3864"/>
          <w:spacing w:val="6"/>
          <w:sz w:val="24"/>
          <w:szCs w:val="24"/>
        </w:rPr>
        <w:t>EDUCATION</w:t>
      </w:r>
    </w:p>
    <w:p w:rsidR="00C64D74" w14:paraId="71A62F02" w14:textId="5810BDB9">
      <w:pPr>
        <w:pStyle w:val="ListParagraph"/>
        <w:numPr>
          <w:ilvl w:val="0"/>
          <w:numId w:val="2"/>
        </w:numPr>
        <w:spacing w:after="70"/>
      </w:pPr>
      <w:r>
        <w:rPr>
          <w:rFonts w:ascii="Calibri" w:eastAsia="Calibri" w:hAnsi="Calibri" w:cs="Calibri"/>
          <w:sz w:val="21"/>
          <w:szCs w:val="21"/>
        </w:rPr>
        <w:t>B. Com</w:t>
      </w:r>
      <w:r w:rsidR="00021D05">
        <w:rPr>
          <w:rFonts w:ascii="Calibri" w:eastAsia="Calibri" w:hAnsi="Calibri" w:cs="Calibri"/>
          <w:sz w:val="21"/>
          <w:szCs w:val="21"/>
        </w:rPr>
        <w:t>, Bangalore University</w:t>
      </w:r>
    </w:p>
    <w:p w:rsidR="00C64D74" w14:paraId="0F6650CC" w14:textId="77777777">
      <w:pPr>
        <w:pBdr>
          <w:bottom w:val="single" w:sz="8" w:space="3" w:color="1F3864"/>
        </w:pBdr>
        <w:spacing w:before="260" w:after="110"/>
      </w:pPr>
      <w:r>
        <w:rPr>
          <w:rFonts w:ascii="Cambria" w:eastAsia="Cambria" w:hAnsi="Cambria" w:cs="Cambria"/>
          <w:b/>
          <w:bCs/>
          <w:color w:val="1F3864"/>
          <w:spacing w:val="6"/>
          <w:sz w:val="24"/>
          <w:szCs w:val="24"/>
        </w:rPr>
        <w:t>ADDITIONAL INFORMATION</w:t>
      </w:r>
    </w:p>
    <w:tbl>
      <w:tblPr>
        <w:tblW w:w="5000" w:type="pct"/>
        <w:tblCellMar>
          <w:left w:w="10" w:type="dxa"/>
          <w:right w:w="10" w:type="dxa"/>
        </w:tblCellMar>
        <w:tblLook w:val="04A0"/>
      </w:tblPr>
      <w:tblGrid>
        <w:gridCol w:w="2923"/>
        <w:gridCol w:w="7517"/>
      </w:tblGrid>
      <w:tr w14:paraId="2B582C2F" w14:textId="77777777">
        <w:tblPrEx>
          <w:tblW w:w="5000" w:type="pct"/>
          <w:tblCellMar>
            <w:left w:w="10" w:type="dxa"/>
            <w:right w:w="10" w:type="dxa"/>
          </w:tblCellMar>
          <w:tblLook w:val="04A0"/>
        </w:tblPrEx>
        <w:tc>
          <w:tcPr>
            <w:tcW w:w="1400" w:type="pct"/>
            <w:shd w:val="clear" w:color="auto" w:fill="EAF0F8"/>
            <w:tcMar>
              <w:top w:w="60" w:type="dxa"/>
              <w:left w:w="100" w:type="dxa"/>
              <w:bottom w:w="60" w:type="dxa"/>
              <w:right w:w="100" w:type="dxa"/>
            </w:tcMar>
          </w:tcPr>
          <w:p w:rsidR="00C64D74" w14:paraId="63365954" w14:textId="77777777">
            <w:r>
              <w:rPr>
                <w:rFonts w:ascii="Calibri" w:eastAsia="Calibri" w:hAnsi="Calibri" w:cs="Calibri"/>
                <w:b/>
                <w:bCs/>
                <w:color w:val="1F3864"/>
              </w:rPr>
              <w:t>Languages</w:t>
            </w:r>
          </w:p>
        </w:tc>
        <w:tc>
          <w:tcPr>
            <w:tcW w:w="3600" w:type="pct"/>
            <w:tcMar>
              <w:top w:w="60" w:type="dxa"/>
              <w:left w:w="120" w:type="dxa"/>
              <w:bottom w:w="60" w:type="dxa"/>
              <w:right w:w="100" w:type="dxa"/>
            </w:tcMar>
          </w:tcPr>
          <w:p w:rsidR="00C64D74" w14:paraId="370DE6B3" w14:textId="2A2875E0">
            <w:r>
              <w:rPr>
                <w:rFonts w:ascii="Calibri" w:eastAsia="Calibri" w:hAnsi="Calibri" w:cs="Calibri"/>
              </w:rPr>
              <w:t>English (Fluent), Kannada, Hindi</w:t>
            </w:r>
            <w:r w:rsidR="00DB50A4">
              <w:rPr>
                <w:rFonts w:ascii="Calibri" w:eastAsia="Calibri" w:hAnsi="Calibri" w:cs="Calibri"/>
              </w:rPr>
              <w:t>.</w:t>
            </w:r>
          </w:p>
        </w:tc>
      </w:tr>
      <w:tr w14:paraId="03706A46" w14:textId="77777777">
        <w:tblPrEx>
          <w:tblW w:w="5000" w:type="pct"/>
          <w:tblCellMar>
            <w:left w:w="10" w:type="dxa"/>
            <w:right w:w="10" w:type="dxa"/>
          </w:tblCellMar>
          <w:tblLook w:val="04A0"/>
        </w:tblPrEx>
        <w:tc>
          <w:tcPr>
            <w:tcW w:w="1400" w:type="pct"/>
            <w:shd w:val="clear" w:color="auto" w:fill="EAF0F8"/>
            <w:tcMar>
              <w:top w:w="60" w:type="dxa"/>
              <w:left w:w="100" w:type="dxa"/>
              <w:bottom w:w="60" w:type="dxa"/>
              <w:right w:w="100" w:type="dxa"/>
            </w:tcMar>
          </w:tcPr>
          <w:p w:rsidR="00C64D74" w14:paraId="70A3C1AA" w14:textId="77777777">
            <w:r>
              <w:rPr>
                <w:rFonts w:ascii="Calibri" w:eastAsia="Calibri" w:hAnsi="Calibri" w:cs="Calibri"/>
                <w:b/>
                <w:bCs/>
                <w:color w:val="1F3864"/>
              </w:rPr>
              <w:t>Systems Exposure</w:t>
            </w:r>
          </w:p>
        </w:tc>
        <w:tc>
          <w:tcPr>
            <w:tcW w:w="3600" w:type="pct"/>
            <w:tcMar>
              <w:top w:w="60" w:type="dxa"/>
              <w:left w:w="120" w:type="dxa"/>
              <w:bottom w:w="60" w:type="dxa"/>
              <w:right w:w="100" w:type="dxa"/>
            </w:tcMar>
          </w:tcPr>
          <w:p w:rsidR="00C64D74" w14:paraId="5549989C" w14:textId="77777777">
            <w:r>
              <w:rPr>
                <w:rFonts w:ascii="Calibri" w:eastAsia="Calibri" w:hAnsi="Calibri" w:cs="Calibri"/>
              </w:rPr>
              <w:t>SAP ECC 6.0, SAP S/4HANA (2020/2021), ServiceNow, MS Excel (Advanced)</w:t>
            </w:r>
          </w:p>
        </w:tc>
      </w:tr>
      <w:tr w14:paraId="5C0459DA" w14:textId="77777777">
        <w:tblPrEx>
          <w:tblW w:w="5000" w:type="pct"/>
          <w:tblCellMar>
            <w:left w:w="10" w:type="dxa"/>
            <w:right w:w="10" w:type="dxa"/>
          </w:tblCellMar>
          <w:tblLook w:val="04A0"/>
        </w:tblPrEx>
        <w:tc>
          <w:tcPr>
            <w:tcW w:w="1400" w:type="pct"/>
            <w:shd w:val="clear" w:color="auto" w:fill="EAF0F8"/>
            <w:tcMar>
              <w:top w:w="60" w:type="dxa"/>
              <w:left w:w="100" w:type="dxa"/>
              <w:bottom w:w="60" w:type="dxa"/>
              <w:right w:w="100" w:type="dxa"/>
            </w:tcMar>
          </w:tcPr>
          <w:p w:rsidR="00C64D74" w14:paraId="0AA9AB7E" w14:textId="77777777">
            <w:r>
              <w:rPr>
                <w:rFonts w:ascii="Calibri" w:eastAsia="Calibri" w:hAnsi="Calibri" w:cs="Calibri"/>
                <w:b/>
                <w:bCs/>
                <w:color w:val="1F3864"/>
              </w:rPr>
              <w:t>Availability</w:t>
            </w:r>
          </w:p>
        </w:tc>
        <w:tc>
          <w:tcPr>
            <w:tcW w:w="3600" w:type="pct"/>
            <w:tcMar>
              <w:top w:w="60" w:type="dxa"/>
              <w:left w:w="120" w:type="dxa"/>
              <w:bottom w:w="60" w:type="dxa"/>
              <w:right w:w="100" w:type="dxa"/>
            </w:tcMar>
          </w:tcPr>
          <w:p w:rsidR="00C64D74" w14:paraId="2A24ACC2" w14:textId="314EF374">
            <w:r>
              <w:rPr>
                <w:rFonts w:ascii="Calibri" w:eastAsia="Calibri" w:hAnsi="Calibri" w:cs="Calibri"/>
              </w:rPr>
              <w:t>I</w:t>
            </w:r>
            <w:r w:rsidR="00021D05">
              <w:rPr>
                <w:rFonts w:ascii="Calibri" w:eastAsia="Calibri" w:hAnsi="Calibri" w:cs="Calibri"/>
              </w:rPr>
              <w:t>mmediate availability</w:t>
            </w:r>
          </w:p>
        </w:tc>
      </w:tr>
    </w:tbl>
    <w:p w:rsidR="002D17D9" w14:paraId="2DF7F60F"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6E78C7"/>
    <w:multiLevelType w:val="hybridMultilevel"/>
    <w:tmpl w:val="5A3C3D7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nsid w:val="2D3339EB"/>
    <w:multiLevelType w:val="hybridMultilevel"/>
    <w:tmpl w:val="3C70282A"/>
    <w:lvl w:ilvl="0">
      <w:start w:val="1"/>
      <w:numFmt w:val="bullet"/>
      <w:lvlText w:val="•"/>
      <w:lvlJc w:val="left"/>
      <w:pPr>
        <w:ind w:left="403" w:hanging="259"/>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D74"/>
    <w:rsid w:val="00021D05"/>
    <w:rsid w:val="002D17D9"/>
    <w:rsid w:val="00461D8D"/>
    <w:rsid w:val="005F5D05"/>
    <w:rsid w:val="007173A2"/>
    <w:rsid w:val="007A2D22"/>
    <w:rsid w:val="008E3F2C"/>
    <w:rsid w:val="009341BF"/>
    <w:rsid w:val="009A5A87"/>
    <w:rsid w:val="00A35464"/>
    <w:rsid w:val="00A75598"/>
    <w:rsid w:val="00AB7C22"/>
    <w:rsid w:val="00B11FAB"/>
    <w:rsid w:val="00BD4E93"/>
    <w:rsid w:val="00C64D74"/>
    <w:rsid w:val="00D641E7"/>
    <w:rsid w:val="00DA5190"/>
    <w:rsid w:val="00DB50A4"/>
    <w:rsid w:val="00E152A5"/>
    <w:rsid w:val="00E94656"/>
    <w:rsid w:val="00EA459E"/>
    <w:rsid w:val="00F9674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5383AF07-5116-4973-BC30-E0B2D7C1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9a2fe3dc58fddb83f6566c23b2a5fa4134f4b0419514c4847440321091b5b58120b140a114651540f435601514841481f0f2b561358191b195115495d0c00584e4209430247460c590858184508105042445b0c0f054e4108120211474a411b02154e49405d58380c4f0343421b0015061953444f530e18705c4458440321091b5b58100d160417485f55014356014a4857034b4a550f59421501130a1843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Sindhu Kk</cp:lastModifiedBy>
  <cp:revision>28</cp:revision>
  <dcterms:created xsi:type="dcterms:W3CDTF">2026-07-06T09:52:00Z</dcterms:created>
  <dcterms:modified xsi:type="dcterms:W3CDTF">2026-07-08T05:27:00Z</dcterms:modified>
</cp:coreProperties>
</file>