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spacing w:before="81" w:after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>Ramesh</w:t>
      </w:r>
      <w:r>
        <w:rPr>
          <w:rFonts w:ascii="Abyssinica SIL" w:hAnsi="Abyssinica SIL"/>
          <w:spacing w:val="-4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Kumar</w:t>
      </w:r>
      <w:r>
        <w:rPr>
          <w:rFonts w:ascii="Abyssinica SIL" w:hAnsi="Abyssinica SIL"/>
          <w:spacing w:val="-5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K</w:t>
      </w:r>
    </w:p>
    <w:p>
      <w:pPr>
        <w:pStyle w:val="TextBody"/>
        <w:spacing w:lineRule="auto" w:line="271" w:before="51" w:after="0"/>
        <w:ind w:left="4077" w:right="4104" w:hanging="0"/>
        <w:jc w:val="center"/>
        <w:rPr/>
      </w:pPr>
      <w:hyperlink r:id="rId2">
        <w:r>
          <w:rPr>
            <w:rStyle w:val="InternetLink"/>
            <w:rFonts w:ascii="Abyssinica SIL" w:hAnsi="Abyssinica SIL"/>
            <w:spacing w:val="-1"/>
            <w:sz w:val="20"/>
            <w:szCs w:val="20"/>
          </w:rPr>
          <w:t>rameshku8489@gmail.com</w:t>
        </w:r>
      </w:hyperlink>
      <w:r>
        <w:rPr>
          <w:rFonts w:ascii="Abyssinica SIL" w:hAnsi="Abyssinica SIL"/>
          <w:color w:val="0461C1"/>
          <w:spacing w:val="-64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9731835634</w:t>
      </w:r>
    </w:p>
    <w:p>
      <w:pPr>
        <w:pStyle w:val="TextBody"/>
        <w:spacing w:before="9" w:after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mc:AlternateContent>
          <mc:Choice Requires="wps">
            <w:drawing>
              <wp:anchor behindDoc="1" distT="0" distB="0" distL="0" distR="0" simplePos="0" locked="0" layoutInCell="1" allowOverlap="1" relativeHeight="6">
                <wp:simplePos x="0" y="0"/>
                <wp:positionH relativeFrom="page">
                  <wp:posOffset>438785</wp:posOffset>
                </wp:positionH>
                <wp:positionV relativeFrom="paragraph">
                  <wp:posOffset>205740</wp:posOffset>
                </wp:positionV>
                <wp:extent cx="6891655" cy="19050"/>
                <wp:effectExtent l="0" t="0" r="0" b="0"/>
                <wp:wrapTopAndBottom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Rectangle 1"/>
                        <wps:cNvSpPr/>
                      </wps:nvSpPr>
                      <wps:spPr>
                        <a:xfrm>
                          <a:off x="0" y="0"/>
                          <a:ext cx="6891120" cy="183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style="position:absolute;margin-left:34.55pt;margin-top:16.2pt;width:542.55pt;height:1.4pt;mso-position-horizontal-relative:page">
                <w10:wrap type="none"/>
                <v:fill o:detectmouseclick="t" type="solid" color2="white"/>
                <v:stroke color="#3465a4" joinstyle="round" endcap="flat"/>
              </v:rect>
            </w:pict>
          </mc:Fallback>
        </mc:AlternateContent>
      </w:r>
    </w:p>
    <w:p>
      <w:pPr>
        <w:pStyle w:val="Heading1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color w:val="2D5294"/>
          <w:sz w:val="20"/>
          <w:szCs w:val="20"/>
        </w:rPr>
        <w:t>Objective</w:t>
      </w:r>
    </w:p>
    <w:p>
      <w:pPr>
        <w:pStyle w:val="TextBody"/>
        <w:spacing w:lineRule="auto" w:line="264" w:before="9" w:after="0"/>
        <w:ind w:left="249" w:hanging="1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>Seeking</w:t>
      </w:r>
      <w:r>
        <w:rPr>
          <w:rFonts w:ascii="Abyssinica SIL" w:hAnsi="Abyssinica SIL"/>
          <w:spacing w:val="-3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a</w:t>
      </w:r>
      <w:r>
        <w:rPr>
          <w:rFonts w:ascii="Abyssinica SIL" w:hAnsi="Abyssinica SIL"/>
          <w:spacing w:val="-1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challenging</w:t>
      </w:r>
      <w:r>
        <w:rPr>
          <w:rFonts w:ascii="Abyssinica SIL" w:hAnsi="Abyssinica SIL"/>
          <w:spacing w:val="-5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opportunity</w:t>
      </w:r>
      <w:r>
        <w:rPr>
          <w:rFonts w:ascii="Abyssinica SIL" w:hAnsi="Abyssinica SIL"/>
          <w:spacing w:val="-5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to</w:t>
      </w:r>
      <w:r>
        <w:rPr>
          <w:rFonts w:ascii="Abyssinica SIL" w:hAnsi="Abyssinica SIL"/>
          <w:spacing w:val="-1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contribute</w:t>
      </w:r>
      <w:r>
        <w:rPr>
          <w:rFonts w:ascii="Abyssinica SIL" w:hAnsi="Abyssinica SIL"/>
          <w:spacing w:val="-2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effectively</w:t>
      </w:r>
      <w:r>
        <w:rPr>
          <w:rFonts w:ascii="Abyssinica SIL" w:hAnsi="Abyssinica SIL"/>
          <w:spacing w:val="-3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to</w:t>
      </w:r>
      <w:r>
        <w:rPr>
          <w:rFonts w:ascii="Abyssinica SIL" w:hAnsi="Abyssinica SIL"/>
          <w:spacing w:val="-4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my</w:t>
      </w:r>
      <w:r>
        <w:rPr>
          <w:rFonts w:ascii="Abyssinica SIL" w:hAnsi="Abyssinica SIL"/>
          <w:spacing w:val="-2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team</w:t>
      </w:r>
      <w:r>
        <w:rPr>
          <w:rFonts w:ascii="Abyssinica SIL" w:hAnsi="Abyssinica SIL"/>
          <w:spacing w:val="-2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and</w:t>
      </w:r>
      <w:r>
        <w:rPr>
          <w:rFonts w:ascii="Abyssinica SIL" w:hAnsi="Abyssinica SIL"/>
          <w:spacing w:val="-4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organization</w:t>
      </w:r>
      <w:r>
        <w:rPr>
          <w:rFonts w:ascii="Abyssinica SIL" w:hAnsi="Abyssinica SIL"/>
          <w:spacing w:val="-4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while</w:t>
      </w:r>
      <w:r>
        <w:rPr>
          <w:rFonts w:ascii="Abyssinica SIL" w:hAnsi="Abyssinica SIL"/>
          <w:spacing w:val="-3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I</w:t>
      </w:r>
      <w:r>
        <w:rPr>
          <w:rFonts w:ascii="Abyssinica SIL" w:hAnsi="Abyssinica SIL"/>
          <w:spacing w:val="-2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improve</w:t>
      </w:r>
      <w:r>
        <w:rPr>
          <w:rFonts w:ascii="Abyssinica SIL" w:hAnsi="Abyssinica SIL"/>
          <w:spacing w:val="-64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my</w:t>
      </w:r>
      <w:r>
        <w:rPr>
          <w:rFonts w:ascii="Abyssinica SIL" w:hAnsi="Abyssinica SIL"/>
          <w:spacing w:val="-1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knowledge and experience in</w:t>
      </w:r>
      <w:r>
        <w:rPr>
          <w:rFonts w:ascii="Abyssinica SIL" w:hAnsi="Abyssinica SIL"/>
          <w:spacing w:val="-2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the</w:t>
      </w:r>
      <w:r>
        <w:rPr>
          <w:rFonts w:ascii="Abyssinica SIL" w:hAnsi="Abyssinica SIL"/>
          <w:spacing w:val="-1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corporate world.</w:t>
      </w:r>
    </w:p>
    <w:p>
      <w:pPr>
        <w:pStyle w:val="TextBody"/>
        <w:spacing w:before="9" w:after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mc:AlternateContent>
          <mc:Choice Requires="wps">
            <w:drawing>
              <wp:anchor behindDoc="1" distT="0" distB="0" distL="0" distR="0" simplePos="0" locked="0" layoutInCell="1" allowOverlap="1" relativeHeight="7">
                <wp:simplePos x="0" y="0"/>
                <wp:positionH relativeFrom="page">
                  <wp:posOffset>438785</wp:posOffset>
                </wp:positionH>
                <wp:positionV relativeFrom="paragraph">
                  <wp:posOffset>213360</wp:posOffset>
                </wp:positionV>
                <wp:extent cx="6891655" cy="19050"/>
                <wp:effectExtent l="0" t="0" r="0" b="0"/>
                <wp:wrapTopAndBottom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Rectangle 1"/>
                        <wps:cNvSpPr/>
                      </wps:nvSpPr>
                      <wps:spPr>
                        <a:xfrm>
                          <a:off x="0" y="0"/>
                          <a:ext cx="6891120" cy="183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style="position:absolute;margin-left:34.55pt;margin-top:16.8pt;width:542.55pt;height:1.4pt;mso-position-horizontal-relative:page">
                <w10:wrap type="none"/>
                <v:fill o:detectmouseclick="t" type="solid" color2="white"/>
                <v:stroke color="#3465a4" joinstyle="round" endcap="flat"/>
              </v:rect>
            </w:pict>
          </mc:Fallback>
        </mc:AlternateContent>
      </w:r>
    </w:p>
    <w:p>
      <w:pPr>
        <w:pStyle w:val="Heading1"/>
        <w:rPr>
          <w:rFonts w:ascii="Abyssinica SIL" w:hAnsi="Abyssinica SIL"/>
          <w:color w:val="2D5294"/>
          <w:sz w:val="20"/>
          <w:szCs w:val="20"/>
        </w:rPr>
      </w:pPr>
      <w:r>
        <w:rPr>
          <w:rFonts w:ascii="Abyssinica SIL" w:hAnsi="Abyssinica SIL"/>
          <w:color w:val="2D5294"/>
          <w:sz w:val="20"/>
          <w:szCs w:val="20"/>
        </w:rPr>
      </w:r>
    </w:p>
    <w:p>
      <w:pPr>
        <w:pStyle w:val="Heading1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color w:val="2D5294"/>
          <w:sz w:val="20"/>
          <w:szCs w:val="20"/>
        </w:rPr>
        <w:t>Experience</w:t>
      </w:r>
      <w:r>
        <w:rPr>
          <w:rFonts w:ascii="Abyssinica SIL" w:hAnsi="Abyssinica SIL"/>
          <w:color w:val="2D5294"/>
          <w:spacing w:val="-3"/>
          <w:sz w:val="20"/>
          <w:szCs w:val="20"/>
        </w:rPr>
        <w:t xml:space="preserve"> </w:t>
      </w:r>
      <w:r>
        <w:rPr>
          <w:rFonts w:ascii="Abyssinica SIL" w:hAnsi="Abyssinica SIL"/>
          <w:color w:val="2D5294"/>
          <w:sz w:val="20"/>
          <w:szCs w:val="20"/>
        </w:rPr>
        <w:t>Summary:</w:t>
      </w:r>
    </w:p>
    <w:p>
      <w:pPr>
        <w:pStyle w:val="TextBody"/>
        <w:spacing w:before="19" w:after="0"/>
        <w:ind w:left="249" w:right="506" w:hanging="1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</w:r>
    </w:p>
    <w:p>
      <w:pPr>
        <w:pStyle w:val="TextBody"/>
        <w:numPr>
          <w:ilvl w:val="0"/>
          <w:numId w:val="2"/>
        </w:numPr>
        <w:spacing w:before="19" w:after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14+ Years of Enterprise IT Security &amp; IAM Experience, specializing in leading end-to-end IAM </w:t>
      </w:r>
    </w:p>
    <w:p>
      <w:pPr>
        <w:pStyle w:val="TextBody"/>
        <w:numPr>
          <w:ilvl w:val="0"/>
          <w:numId w:val="2"/>
        </w:numPr>
        <w:spacing w:before="19" w:after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>Architecture, Identity Governance &amp; Administration (IGA), Access Management (AM), and Privileged Access Management (PAM) strategies across complex, global enterprise environmen</w:t>
      </w:r>
      <w:r>
        <w:rPr>
          <w:rFonts w:ascii="Abyssinica SIL" w:hAnsi="Abyssinica SIL"/>
          <w:sz w:val="20"/>
          <w:szCs w:val="20"/>
        </w:rPr>
        <w:t>t</w:t>
      </w:r>
      <w:r>
        <w:rPr>
          <w:rFonts w:ascii="Abyssinica SIL" w:hAnsi="Abyssinica SIL"/>
          <w:sz w:val="20"/>
          <w:szCs w:val="20"/>
        </w:rPr>
        <w:t>s (including Financial Services and Healthcare).</w:t>
      </w:r>
    </w:p>
    <w:p>
      <w:pPr>
        <w:pStyle w:val="TextBody"/>
        <w:numPr>
          <w:ilvl w:val="0"/>
          <w:numId w:val="2"/>
        </w:numPr>
        <w:spacing w:before="19" w:after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>Extensive expertise in conducting structured IAM maturity assessments across People, Process, and Technology domains, mapping dependencies, reviewing High-Level Designs (HLDs)/SOPs, and establishing vendor-neutral target-state architectures and multi-year transformation roadmaps.</w:t>
      </w:r>
    </w:p>
    <w:p>
      <w:pPr>
        <w:pStyle w:val="TextBody"/>
        <w:numPr>
          <w:ilvl w:val="0"/>
          <w:numId w:val="2"/>
        </w:numPr>
        <w:spacing w:before="19" w:after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>Deep functional and technical mastery across Identity Stores &amp; Authentication Models: Microsoft  Entra ID (Azure AD), Active Directory, LDAP, MIM 2016, FIM, ForgeRock, Thycotic Secret Server (PAM), ADFS, and Federation Protocols (SAML, OAuth, OpenID Connect, MFA, SSO).</w:t>
      </w:r>
    </w:p>
    <w:p>
      <w:pPr>
        <w:pStyle w:val="TextBody"/>
        <w:numPr>
          <w:ilvl w:val="0"/>
          <w:numId w:val="2"/>
        </w:numPr>
        <w:spacing w:before="19" w:after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Proven leadership in evaluating complex internal and external identity journeys—covering </w:t>
      </w:r>
    </w:p>
    <w:p>
      <w:pPr>
        <w:pStyle w:val="TextBody"/>
        <w:numPr>
          <w:ilvl w:val="0"/>
          <w:numId w:val="2"/>
        </w:numPr>
        <w:spacing w:before="19" w:after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>Automated Provisioning, RBAC/ABAC, Segregation of Duties (SoD), Lifecycle Management (JML), Azure PIM, and Compliance Frameworks.</w:t>
      </w:r>
    </w:p>
    <w:p>
      <w:pPr>
        <w:pStyle w:val="TextBody"/>
        <w:numPr>
          <w:ilvl w:val="0"/>
          <w:numId w:val="2"/>
        </w:numPr>
        <w:spacing w:before="19" w:after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>Conducted enterprise-wide IAM discovery workshops and stakeholder interviews to assess current-state Identity and Access Management capabilities, identify security gaps, and recommend strategic improvements.</w:t>
      </w:r>
    </w:p>
    <w:p>
      <w:pPr>
        <w:pStyle w:val="TextBody"/>
        <w:numPr>
          <w:ilvl w:val="0"/>
          <w:numId w:val="2"/>
        </w:numPr>
        <w:spacing w:before="19" w:after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>Architecture, Multi-Year Transformation Roadmaps, Vendor-Neutral Evaluations, Gap Analysis.</w:t>
      </w:r>
    </w:p>
    <w:p>
      <w:pPr>
        <w:pStyle w:val="TextBody"/>
        <w:numPr>
          <w:ilvl w:val="0"/>
          <w:numId w:val="2"/>
        </w:numPr>
        <w:spacing w:before="19" w:after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Privileged Access Management (PAM): Thycotic Secret Server, Azure PIM, Just-In-Time (JIT) </w:t>
      </w:r>
    </w:p>
    <w:p>
      <w:pPr>
        <w:pStyle w:val="TextBody"/>
        <w:numPr>
          <w:ilvl w:val="0"/>
          <w:numId w:val="2"/>
        </w:numPr>
        <w:spacing w:before="19" w:after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>Access, Least Privilege Enforcement, Session Auditing.</w:t>
      </w:r>
    </w:p>
    <w:p>
      <w:pPr>
        <w:pStyle w:val="TextBody"/>
        <w:numPr>
          <w:ilvl w:val="0"/>
          <w:numId w:val="2"/>
        </w:numPr>
        <w:spacing w:before="19" w:after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Directory &amp; Cloud Identity: Microsoft Entra ID (Azure AD), Hybrid AD Sync, LDAP, Domain </w:t>
      </w:r>
    </w:p>
    <w:p>
      <w:pPr>
        <w:pStyle w:val="TextBody"/>
        <w:numPr>
          <w:ilvl w:val="0"/>
          <w:numId w:val="2"/>
        </w:numPr>
        <w:spacing w:before="19" w:after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>Controllers, PKI &amp; Certificate Lifecycle Management.</w:t>
      </w:r>
    </w:p>
    <w:p>
      <w:pPr>
        <w:pStyle w:val="TextBody"/>
        <w:numPr>
          <w:ilvl w:val="0"/>
          <w:numId w:val="2"/>
        </w:numPr>
        <w:spacing w:before="19" w:after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Governance, Risk &amp; Compliance: Banking &amp; Financial Security Controls, HLD/LLD Architecture </w:t>
      </w:r>
    </w:p>
    <w:p>
      <w:pPr>
        <w:pStyle w:val="Heading1"/>
        <w:numPr>
          <w:ilvl w:val="0"/>
          <w:numId w:val="2"/>
        </w:numPr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>Design, SOP &amp; Operational Runbook Reviews, Audit Readiness.</w:t>
      </w:r>
    </w:p>
    <w:p>
      <w:pPr>
        <w:pStyle w:val="Heading1"/>
        <w:ind w:hanging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</w:r>
    </w:p>
    <w:p>
      <w:pPr>
        <w:pStyle w:val="Heading1"/>
        <w:ind w:left="0" w:hanging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color w:val="2D5294"/>
          <w:sz w:val="20"/>
          <w:szCs w:val="20"/>
        </w:rPr>
        <w:t>Professional</w:t>
      </w:r>
      <w:r>
        <w:rPr>
          <w:rFonts w:ascii="Abyssinica SIL" w:hAnsi="Abyssinica SIL"/>
          <w:color w:val="2D5294"/>
          <w:spacing w:val="-10"/>
          <w:sz w:val="20"/>
          <w:szCs w:val="20"/>
        </w:rPr>
        <w:t xml:space="preserve"> </w:t>
      </w:r>
      <w:r>
        <w:rPr>
          <w:rFonts w:ascii="Abyssinica SIL" w:hAnsi="Abyssinica SIL"/>
          <w:color w:val="2D5294"/>
          <w:sz w:val="20"/>
          <w:szCs w:val="20"/>
        </w:rPr>
        <w:t>Experience:</w:t>
      </w:r>
    </w:p>
    <w:p>
      <w:pPr>
        <w:pStyle w:val="Heading1"/>
        <w:ind w:left="0" w:hanging="0"/>
        <w:rPr>
          <w:rFonts w:ascii="Abyssinica SIL" w:hAnsi="Abyssinica SIL"/>
          <w:color w:val="2D5294"/>
          <w:sz w:val="20"/>
          <w:szCs w:val="20"/>
        </w:rPr>
      </w:pPr>
      <w:r>
        <w:rPr>
          <w:rFonts w:ascii="Abyssinica SIL" w:hAnsi="Abyssinica SIL"/>
          <w:color w:val="2D5294"/>
          <w:sz w:val="20"/>
          <w:szCs w:val="20"/>
        </w:rPr>
      </w:r>
    </w:p>
    <w:tbl>
      <w:tblPr>
        <w:tblW w:w="10648" w:type="dxa"/>
        <w:jc w:val="left"/>
        <w:tblInd w:w="1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4" w:space="0" w:color="000000"/>
          <w:insideH w:val="single" w:sz="8" w:space="0" w:color="000000"/>
          <w:insideV w:val="single" w:sz="4" w:space="0" w:color="000000"/>
        </w:tblBorders>
        <w:tblCellMar>
          <w:top w:w="0" w:type="dxa"/>
          <w:left w:w="98" w:type="dxa"/>
          <w:bottom w:w="0" w:type="dxa"/>
          <w:right w:w="108" w:type="dxa"/>
        </w:tblCellMar>
        <w:tblLook w:val="04a0"/>
      </w:tblPr>
      <w:tblGrid>
        <w:gridCol w:w="2102"/>
        <w:gridCol w:w="6709"/>
        <w:gridCol w:w="1837"/>
      </w:tblGrid>
      <w:tr>
        <w:trPr>
          <w:trHeight w:val="326" w:hRule="atLeast"/>
        </w:trPr>
        <w:tc>
          <w:tcPr>
            <w:tcW w:w="2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  <w:insideH w:val="single" w:sz="8" w:space="0" w:color="000000"/>
              <w:insideV w:val="single" w:sz="4" w:space="0" w:color="000000"/>
            </w:tcBorders>
            <w:shd w:fill="auto" w:val="clear"/>
            <w:vAlign w:val="bottom"/>
          </w:tcPr>
          <w:p>
            <w:pPr>
              <w:pStyle w:val="Normal"/>
              <w:widowControl/>
              <w:rPr>
                <w:rFonts w:ascii="Abyssinica SIL" w:hAnsi="Abyssinica SIL"/>
                <w:sz w:val="20"/>
                <w:szCs w:val="20"/>
              </w:rPr>
            </w:pPr>
            <w:r>
              <w:rPr>
                <w:rFonts w:eastAsia="Times New Roman" w:cs="Calibri" w:ascii="Abyssinica SIL" w:hAnsi="Abyssinica SIL"/>
                <w:b/>
                <w:bCs/>
                <w:color w:val="000000"/>
                <w:sz w:val="20"/>
                <w:szCs w:val="20"/>
              </w:rPr>
              <w:t>Company Name</w:t>
            </w:r>
          </w:p>
        </w:tc>
        <w:tc>
          <w:tcPr>
            <w:tcW w:w="6709" w:type="dxa"/>
            <w:tcBorders>
              <w:top w:val="single" w:sz="8" w:space="0" w:color="000000"/>
              <w:bottom w:val="single" w:sz="8" w:space="0" w:color="000000"/>
              <w:right w:val="single" w:sz="4" w:space="0" w:color="000000"/>
              <w:insideH w:val="single" w:sz="8" w:space="0" w:color="000000"/>
              <w:insideV w:val="single" w:sz="4" w:space="0" w:color="000000"/>
            </w:tcBorders>
            <w:shd w:fill="auto" w:val="clear"/>
            <w:vAlign w:val="bottom"/>
          </w:tcPr>
          <w:p>
            <w:pPr>
              <w:pStyle w:val="Normal"/>
              <w:widowControl/>
              <w:rPr>
                <w:rFonts w:ascii="Abyssinica SIL" w:hAnsi="Abyssinica SIL"/>
                <w:sz w:val="20"/>
                <w:szCs w:val="20"/>
              </w:rPr>
            </w:pPr>
            <w:r>
              <w:rPr>
                <w:rFonts w:eastAsia="Times New Roman" w:cs="Calibri" w:ascii="Abyssinica SIL" w:hAnsi="Abyssinica SIL"/>
                <w:b/>
                <w:bCs/>
                <w:color w:val="000000"/>
                <w:sz w:val="20"/>
                <w:szCs w:val="20"/>
              </w:rPr>
              <w:t>Supported date</w:t>
            </w:r>
          </w:p>
        </w:tc>
        <w:tc>
          <w:tcPr>
            <w:tcW w:w="183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/>
              <w:rPr>
                <w:rFonts w:ascii="Abyssinica SIL" w:hAnsi="Abyssinica SIL"/>
                <w:sz w:val="20"/>
                <w:szCs w:val="20"/>
              </w:rPr>
            </w:pPr>
            <w:r>
              <w:rPr>
                <w:rFonts w:eastAsia="Times New Roman" w:cs="Calibri" w:ascii="Abyssinica SIL" w:hAnsi="Abyssinica SIL"/>
                <w:b/>
                <w:bCs/>
                <w:color w:val="000000"/>
                <w:sz w:val="20"/>
                <w:szCs w:val="20"/>
              </w:rPr>
              <w:t>Duration</w:t>
            </w:r>
          </w:p>
        </w:tc>
      </w:tr>
      <w:tr>
        <w:trPr>
          <w:trHeight w:val="315" w:hRule="atLeast"/>
        </w:trPr>
        <w:tc>
          <w:tcPr>
            <w:tcW w:w="2102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bottom"/>
          </w:tcPr>
          <w:p>
            <w:pPr>
              <w:pStyle w:val="Normal"/>
              <w:widowControl/>
              <w:rPr>
                <w:rFonts w:ascii="Abyssinica SIL" w:hAnsi="Abyssinica SIL"/>
                <w:sz w:val="20"/>
                <w:szCs w:val="20"/>
              </w:rPr>
            </w:pPr>
            <w:r>
              <w:rPr>
                <w:rFonts w:eastAsia="Times New Roman" w:cs="Calibri" w:ascii="Abyssinica SIL" w:hAnsi="Abyssinica SIL"/>
                <w:color w:val="000000"/>
                <w:sz w:val="20"/>
                <w:szCs w:val="20"/>
              </w:rPr>
              <w:t>HCL Tech</w:t>
            </w:r>
          </w:p>
        </w:tc>
        <w:tc>
          <w:tcPr>
            <w:tcW w:w="6709" w:type="dxa"/>
            <w:tcBorders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bottom"/>
          </w:tcPr>
          <w:p>
            <w:pPr>
              <w:pStyle w:val="Normal"/>
              <w:widowControl/>
              <w:rPr>
                <w:rFonts w:ascii="Abyssinica SIL" w:hAnsi="Abyssinica SIL"/>
                <w:sz w:val="20"/>
                <w:szCs w:val="20"/>
              </w:rPr>
            </w:pPr>
            <w:r>
              <w:rPr>
                <w:rFonts w:eastAsia="Times New Roman" w:cs="Calibri" w:ascii="Abyssinica SIL" w:hAnsi="Abyssinica SIL"/>
                <w:color w:val="000000"/>
                <w:sz w:val="20"/>
                <w:szCs w:val="20"/>
              </w:rPr>
              <w:t>5th July 2021 – 26 Feb 2025</w:t>
            </w:r>
          </w:p>
        </w:tc>
        <w:tc>
          <w:tcPr>
            <w:tcW w:w="1837" w:type="dxa"/>
            <w:tcBorders>
              <w:bottom w:val="single" w:sz="4" w:space="0" w:color="000000"/>
              <w:right w:val="single" w:sz="8" w:space="0" w:color="000000"/>
              <w:insideH w:val="single" w:sz="4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/>
              <w:rPr>
                <w:rFonts w:ascii="Abyssinica SIL" w:hAnsi="Abyssinica SIL"/>
                <w:sz w:val="20"/>
                <w:szCs w:val="20"/>
              </w:rPr>
            </w:pPr>
            <w:r>
              <w:rPr>
                <w:rFonts w:eastAsia="Times New Roman" w:cs="Calibri" w:ascii="Abyssinica SIL" w:hAnsi="Abyssinica SIL"/>
                <w:color w:val="000000"/>
                <w:sz w:val="20"/>
                <w:szCs w:val="20"/>
              </w:rPr>
              <w:t>3.7 Years</w:t>
            </w:r>
          </w:p>
        </w:tc>
      </w:tr>
      <w:tr>
        <w:trPr>
          <w:trHeight w:val="315" w:hRule="atLeast"/>
        </w:trPr>
        <w:tc>
          <w:tcPr>
            <w:tcW w:w="2102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bottom"/>
          </w:tcPr>
          <w:p>
            <w:pPr>
              <w:pStyle w:val="Normal"/>
              <w:widowControl/>
              <w:rPr>
                <w:rFonts w:ascii="Abyssinica SIL" w:hAnsi="Abyssinica SIL"/>
                <w:sz w:val="20"/>
                <w:szCs w:val="20"/>
              </w:rPr>
            </w:pPr>
            <w:r>
              <w:rPr>
                <w:rFonts w:eastAsia="Times New Roman" w:cs="Calibri" w:ascii="Abyssinica SIL" w:hAnsi="Abyssinica SIL"/>
                <w:color w:val="000000"/>
                <w:sz w:val="20"/>
                <w:szCs w:val="20"/>
              </w:rPr>
              <w:t>Happiest Minds</w:t>
            </w:r>
          </w:p>
        </w:tc>
        <w:tc>
          <w:tcPr>
            <w:tcW w:w="6709" w:type="dxa"/>
            <w:tcBorders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bottom"/>
          </w:tcPr>
          <w:p>
            <w:pPr>
              <w:pStyle w:val="Normal"/>
              <w:widowControl/>
              <w:rPr>
                <w:rFonts w:ascii="Abyssinica SIL" w:hAnsi="Abyssinica SIL"/>
                <w:sz w:val="20"/>
                <w:szCs w:val="20"/>
              </w:rPr>
            </w:pPr>
            <w:r>
              <w:rPr>
                <w:rFonts w:eastAsia="Times New Roman" w:cs="Calibri" w:ascii="Abyssinica SIL" w:hAnsi="Abyssinica SIL"/>
                <w:color w:val="000000"/>
                <w:sz w:val="20"/>
                <w:szCs w:val="20"/>
              </w:rPr>
              <w:t>25th Nov 2020 – 2nd July 2021</w:t>
            </w:r>
          </w:p>
        </w:tc>
        <w:tc>
          <w:tcPr>
            <w:tcW w:w="1837" w:type="dxa"/>
            <w:tcBorders>
              <w:bottom w:val="single" w:sz="4" w:space="0" w:color="000000"/>
              <w:right w:val="single" w:sz="8" w:space="0" w:color="000000"/>
              <w:insideH w:val="single" w:sz="4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/>
              <w:rPr>
                <w:rFonts w:ascii="Abyssinica SIL" w:hAnsi="Abyssinica SIL"/>
                <w:sz w:val="20"/>
                <w:szCs w:val="20"/>
              </w:rPr>
            </w:pPr>
            <w:r>
              <w:rPr>
                <w:rFonts w:eastAsia="Times New Roman" w:cs="Calibri" w:ascii="Abyssinica SIL" w:hAnsi="Abyssinica SIL"/>
                <w:color w:val="000000"/>
                <w:sz w:val="20"/>
                <w:szCs w:val="20"/>
              </w:rPr>
              <w:t>.6 Years</w:t>
            </w:r>
          </w:p>
        </w:tc>
      </w:tr>
      <w:tr>
        <w:trPr>
          <w:trHeight w:val="315" w:hRule="atLeast"/>
        </w:trPr>
        <w:tc>
          <w:tcPr>
            <w:tcW w:w="2102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bottom"/>
          </w:tcPr>
          <w:p>
            <w:pPr>
              <w:pStyle w:val="Normal"/>
              <w:widowControl/>
              <w:rPr>
                <w:rFonts w:ascii="Abyssinica SIL" w:hAnsi="Abyssinica SIL"/>
                <w:sz w:val="20"/>
                <w:szCs w:val="20"/>
              </w:rPr>
            </w:pPr>
            <w:r>
              <w:rPr>
                <w:rFonts w:eastAsia="Times New Roman" w:cs="Calibri" w:ascii="Abyssinica SIL" w:hAnsi="Abyssinica SIL"/>
                <w:color w:val="000000"/>
                <w:sz w:val="20"/>
                <w:szCs w:val="20"/>
              </w:rPr>
              <w:t>DXC Technologies</w:t>
            </w:r>
          </w:p>
        </w:tc>
        <w:tc>
          <w:tcPr>
            <w:tcW w:w="6709" w:type="dxa"/>
            <w:tcBorders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bottom"/>
          </w:tcPr>
          <w:p>
            <w:pPr>
              <w:pStyle w:val="Normal"/>
              <w:widowControl/>
              <w:rPr>
                <w:rFonts w:ascii="Abyssinica SIL" w:hAnsi="Abyssinica SIL"/>
                <w:sz w:val="20"/>
                <w:szCs w:val="20"/>
              </w:rPr>
            </w:pPr>
            <w:r>
              <w:rPr>
                <w:rFonts w:eastAsia="Times New Roman" w:cs="Calibri" w:ascii="Abyssinica SIL" w:hAnsi="Abyssinica SIL"/>
                <w:color w:val="000000"/>
                <w:sz w:val="20"/>
                <w:szCs w:val="20"/>
              </w:rPr>
              <w:t>9th Nov 2019 – 19th Nov 2020</w:t>
            </w:r>
          </w:p>
        </w:tc>
        <w:tc>
          <w:tcPr>
            <w:tcW w:w="1837" w:type="dxa"/>
            <w:tcBorders>
              <w:bottom w:val="single" w:sz="4" w:space="0" w:color="000000"/>
              <w:right w:val="single" w:sz="8" w:space="0" w:color="000000"/>
              <w:insideH w:val="single" w:sz="4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/>
              <w:rPr>
                <w:rFonts w:ascii="Abyssinica SIL" w:hAnsi="Abyssinica SIL"/>
                <w:sz w:val="20"/>
                <w:szCs w:val="20"/>
              </w:rPr>
            </w:pPr>
            <w:r>
              <w:rPr>
                <w:rFonts w:eastAsia="Times New Roman" w:cs="Calibri" w:ascii="Abyssinica SIL" w:hAnsi="Abyssinica SIL"/>
                <w:color w:val="000000"/>
                <w:sz w:val="20"/>
                <w:szCs w:val="20"/>
              </w:rPr>
              <w:t>1 Year</w:t>
            </w:r>
          </w:p>
        </w:tc>
      </w:tr>
      <w:tr>
        <w:trPr>
          <w:trHeight w:val="315" w:hRule="atLeast"/>
        </w:trPr>
        <w:tc>
          <w:tcPr>
            <w:tcW w:w="2102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bottom"/>
          </w:tcPr>
          <w:p>
            <w:pPr>
              <w:pStyle w:val="Normal"/>
              <w:widowControl/>
              <w:rPr>
                <w:rFonts w:ascii="Abyssinica SIL" w:hAnsi="Abyssinica SIL"/>
                <w:sz w:val="20"/>
                <w:szCs w:val="20"/>
              </w:rPr>
            </w:pPr>
            <w:r>
              <w:rPr>
                <w:rFonts w:eastAsia="Times New Roman" w:cs="Calibri" w:ascii="Abyssinica SIL" w:hAnsi="Abyssinica SIL"/>
                <w:color w:val="000000"/>
                <w:sz w:val="20"/>
                <w:szCs w:val="20"/>
              </w:rPr>
              <w:t>Capgemini</w:t>
            </w:r>
          </w:p>
        </w:tc>
        <w:tc>
          <w:tcPr>
            <w:tcW w:w="6709" w:type="dxa"/>
            <w:tcBorders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bottom"/>
          </w:tcPr>
          <w:p>
            <w:pPr>
              <w:pStyle w:val="Normal"/>
              <w:widowControl/>
              <w:rPr>
                <w:rFonts w:ascii="Abyssinica SIL" w:hAnsi="Abyssinica SIL"/>
                <w:sz w:val="20"/>
                <w:szCs w:val="20"/>
              </w:rPr>
            </w:pPr>
            <w:r>
              <w:rPr>
                <w:rFonts w:eastAsia="Times New Roman" w:cs="Calibri" w:ascii="Abyssinica SIL" w:hAnsi="Abyssinica SIL"/>
                <w:color w:val="000000"/>
                <w:sz w:val="20"/>
                <w:szCs w:val="20"/>
              </w:rPr>
              <w:t>1st July 2017 – 30th Oct 2019</w:t>
            </w:r>
          </w:p>
        </w:tc>
        <w:tc>
          <w:tcPr>
            <w:tcW w:w="1837" w:type="dxa"/>
            <w:tcBorders>
              <w:bottom w:val="single" w:sz="4" w:space="0" w:color="000000"/>
              <w:right w:val="single" w:sz="8" w:space="0" w:color="000000"/>
              <w:insideH w:val="single" w:sz="4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/>
              <w:rPr>
                <w:rFonts w:ascii="Abyssinica SIL" w:hAnsi="Abyssinica SIL"/>
                <w:sz w:val="20"/>
                <w:szCs w:val="20"/>
              </w:rPr>
            </w:pPr>
            <w:r>
              <w:rPr>
                <w:rFonts w:eastAsia="Times New Roman" w:cs="Calibri" w:ascii="Abyssinica SIL" w:hAnsi="Abyssinica SIL"/>
                <w:color w:val="000000"/>
                <w:sz w:val="20"/>
                <w:szCs w:val="20"/>
              </w:rPr>
              <w:t>2.3 Years</w:t>
            </w:r>
          </w:p>
        </w:tc>
      </w:tr>
      <w:tr>
        <w:trPr>
          <w:trHeight w:val="315" w:hRule="atLeast"/>
        </w:trPr>
        <w:tc>
          <w:tcPr>
            <w:tcW w:w="2102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bottom"/>
          </w:tcPr>
          <w:p>
            <w:pPr>
              <w:pStyle w:val="Normal"/>
              <w:widowControl/>
              <w:rPr>
                <w:rFonts w:ascii="Abyssinica SIL" w:hAnsi="Abyssinica SIL"/>
                <w:sz w:val="20"/>
                <w:szCs w:val="20"/>
              </w:rPr>
            </w:pPr>
            <w:r>
              <w:rPr>
                <w:rFonts w:eastAsia="Times New Roman" w:cs="Calibri" w:ascii="Abyssinica SIL" w:hAnsi="Abyssinica SIL"/>
                <w:color w:val="000000"/>
                <w:sz w:val="20"/>
                <w:szCs w:val="20"/>
              </w:rPr>
              <w:t>AXA Tech</w:t>
            </w:r>
          </w:p>
        </w:tc>
        <w:tc>
          <w:tcPr>
            <w:tcW w:w="6709" w:type="dxa"/>
            <w:tcBorders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bottom"/>
          </w:tcPr>
          <w:p>
            <w:pPr>
              <w:pStyle w:val="Normal"/>
              <w:widowControl/>
              <w:rPr>
                <w:rFonts w:ascii="Abyssinica SIL" w:hAnsi="Abyssinica SIL"/>
                <w:sz w:val="20"/>
                <w:szCs w:val="20"/>
              </w:rPr>
            </w:pPr>
            <w:r>
              <w:rPr>
                <w:rFonts w:eastAsia="Times New Roman" w:cs="Calibri" w:ascii="Abyssinica SIL" w:hAnsi="Abyssinica SIL"/>
                <w:color w:val="000000"/>
                <w:sz w:val="20"/>
                <w:szCs w:val="20"/>
              </w:rPr>
              <w:t>5th April 2010 – 30th June 2017</w:t>
            </w:r>
          </w:p>
        </w:tc>
        <w:tc>
          <w:tcPr>
            <w:tcW w:w="1837" w:type="dxa"/>
            <w:tcBorders>
              <w:bottom w:val="single" w:sz="4" w:space="0" w:color="000000"/>
              <w:right w:val="single" w:sz="8" w:space="0" w:color="000000"/>
              <w:insideH w:val="single" w:sz="4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/>
              <w:rPr>
                <w:rFonts w:ascii="Abyssinica SIL" w:hAnsi="Abyssinica SIL"/>
                <w:sz w:val="20"/>
                <w:szCs w:val="20"/>
              </w:rPr>
            </w:pPr>
            <w:r>
              <w:rPr>
                <w:rFonts w:eastAsia="Times New Roman" w:cs="Calibri" w:ascii="Abyssinica SIL" w:hAnsi="Abyssinica SIL"/>
                <w:color w:val="000000"/>
                <w:sz w:val="20"/>
                <w:szCs w:val="20"/>
              </w:rPr>
              <w:t>7.2 Years</w:t>
            </w:r>
          </w:p>
        </w:tc>
      </w:tr>
      <w:tr>
        <w:trPr>
          <w:trHeight w:val="326" w:hRule="atLeast"/>
        </w:trPr>
        <w:tc>
          <w:tcPr>
            <w:tcW w:w="2102" w:type="dxa"/>
            <w:tcBorders>
              <w:left w:val="single" w:sz="8" w:space="0" w:color="000000"/>
              <w:bottom w:val="single" w:sz="8" w:space="0" w:color="000000"/>
              <w:right w:val="single" w:sz="4" w:space="0" w:color="000000"/>
              <w:insideH w:val="single" w:sz="8" w:space="0" w:color="000000"/>
              <w:insideV w:val="single" w:sz="4" w:space="0" w:color="000000"/>
            </w:tcBorders>
            <w:shd w:fill="auto" w:val="clear"/>
            <w:vAlign w:val="bottom"/>
          </w:tcPr>
          <w:p>
            <w:pPr>
              <w:pStyle w:val="Normal"/>
              <w:widowControl/>
              <w:rPr>
                <w:rFonts w:ascii="Abyssinica SIL" w:hAnsi="Abyssinica SIL"/>
                <w:sz w:val="20"/>
                <w:szCs w:val="20"/>
              </w:rPr>
            </w:pPr>
            <w:r>
              <w:rPr>
                <w:rFonts w:eastAsia="Times New Roman" w:cs="Calibri" w:ascii="Abyssinica SIL" w:hAnsi="Abyssinica SIL"/>
                <w:color w:val="000000"/>
                <w:sz w:val="20"/>
                <w:szCs w:val="20"/>
              </w:rPr>
              <w:t>Mphasis</w:t>
            </w:r>
          </w:p>
        </w:tc>
        <w:tc>
          <w:tcPr>
            <w:tcW w:w="6709" w:type="dxa"/>
            <w:tcBorders>
              <w:bottom w:val="single" w:sz="8" w:space="0" w:color="000000"/>
              <w:right w:val="single" w:sz="4" w:space="0" w:color="000000"/>
              <w:insideH w:val="single" w:sz="8" w:space="0" w:color="000000"/>
              <w:insideV w:val="single" w:sz="4" w:space="0" w:color="000000"/>
            </w:tcBorders>
            <w:shd w:fill="auto" w:val="clear"/>
            <w:vAlign w:val="bottom"/>
          </w:tcPr>
          <w:p>
            <w:pPr>
              <w:pStyle w:val="Normal"/>
              <w:widowControl/>
              <w:rPr>
                <w:rFonts w:ascii="Abyssinica SIL" w:hAnsi="Abyssinica SIL"/>
                <w:sz w:val="20"/>
                <w:szCs w:val="20"/>
              </w:rPr>
            </w:pPr>
            <w:r>
              <w:rPr>
                <w:rFonts w:eastAsia="Times New Roman" w:cs="Calibri" w:ascii="Abyssinica SIL" w:hAnsi="Abyssinica SIL"/>
                <w:color w:val="000000"/>
                <w:sz w:val="20"/>
                <w:szCs w:val="20"/>
              </w:rPr>
              <w:t>10th Sep 2008 – 4th April 2010</w:t>
            </w:r>
          </w:p>
        </w:tc>
        <w:tc>
          <w:tcPr>
            <w:tcW w:w="1837" w:type="dxa"/>
            <w:tcBorders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/>
              <w:rPr>
                <w:rFonts w:ascii="Abyssinica SIL" w:hAnsi="Abyssinica SIL"/>
                <w:sz w:val="20"/>
                <w:szCs w:val="20"/>
              </w:rPr>
            </w:pPr>
            <w:r>
              <w:rPr>
                <w:rFonts w:eastAsia="Times New Roman" w:cs="Calibri" w:ascii="Abyssinica SIL" w:hAnsi="Abyssinica SIL"/>
                <w:color w:val="000000"/>
                <w:sz w:val="20"/>
                <w:szCs w:val="20"/>
              </w:rPr>
              <w:t>1.7 Years</w:t>
            </w:r>
          </w:p>
        </w:tc>
      </w:tr>
    </w:tbl>
    <w:p>
      <w:pPr>
        <w:pStyle w:val="ListParagraph"/>
        <w:tabs>
          <w:tab w:val="left" w:pos="963" w:leader="none"/>
          <w:tab w:val="left" w:pos="3840" w:leader="none"/>
          <w:tab w:val="left" w:pos="9234" w:leader="none"/>
        </w:tabs>
        <w:spacing w:before="77" w:after="0"/>
        <w:ind w:left="962" w:hanging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</w:r>
    </w:p>
    <w:p>
      <w:pPr>
        <w:pStyle w:val="Heading1"/>
        <w:spacing w:before="91" w:after="0"/>
        <w:ind w:left="0" w:hanging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color w:val="2D5294"/>
          <w:sz w:val="20"/>
          <w:szCs w:val="20"/>
        </w:rPr>
        <w:t>Projects:</w:t>
      </w:r>
    </w:p>
    <w:p>
      <w:pPr>
        <w:pStyle w:val="Heading1"/>
        <w:spacing w:before="91" w:after="0"/>
        <w:ind w:left="0" w:hanging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color w:val="2D5294"/>
          <w:sz w:val="20"/>
          <w:szCs w:val="20"/>
        </w:rPr>
        <w:t>Project 1: Enterprise IAM Maturity Assessment &amp; Strategy</w:t>
      </w:r>
    </w:p>
    <w:p>
      <w:pPr>
        <w:pStyle w:val="TextBody"/>
        <w:spacing w:before="0" w:after="283"/>
        <w:rPr/>
      </w:pPr>
      <w:r>
        <w:rPr>
          <w:rStyle w:val="StrongEmphasis"/>
          <w:rFonts w:ascii="Abyssinica SIL" w:hAnsi="Abyssinica SIL"/>
          <w:sz w:val="20"/>
          <w:szCs w:val="20"/>
        </w:rPr>
        <w:t>Client:</w:t>
      </w:r>
      <w:r>
        <w:rPr>
          <w:rFonts w:ascii="Abyssinica SIL" w:hAnsi="Abyssinica SIL"/>
          <w:sz w:val="20"/>
          <w:szCs w:val="20"/>
        </w:rPr>
        <w:t xml:space="preserve"> Global Banking &amp; Financial Services</w:t>
      </w:r>
    </w:p>
    <w:p>
      <w:pPr>
        <w:pStyle w:val="TextBody"/>
        <w:spacing w:before="0" w:after="283"/>
        <w:rPr/>
      </w:pPr>
      <w:r>
        <w:rPr>
          <w:rStyle w:val="StrongEmphasis"/>
          <w:rFonts w:ascii="Abyssinica SIL" w:hAnsi="Abyssinica SIL"/>
          <w:sz w:val="20"/>
          <w:szCs w:val="20"/>
        </w:rPr>
        <w:t>Role:</w:t>
      </w:r>
      <w:r>
        <w:rPr>
          <w:rFonts w:ascii="Abyssinica SIL" w:hAnsi="Abyssinica SIL"/>
          <w:sz w:val="20"/>
          <w:szCs w:val="20"/>
        </w:rPr>
        <w:t xml:space="preserve"> Senior IAM Consultant</w:t>
      </w:r>
    </w:p>
    <w:p>
      <w:pPr>
        <w:pStyle w:val="TextBody"/>
        <w:spacing w:before="0" w:after="283"/>
        <w:rPr/>
      </w:pPr>
      <w:r>
        <w:rPr>
          <w:rStyle w:val="StrongEmphasis"/>
          <w:rFonts w:ascii="Abyssinica SIL" w:hAnsi="Abyssinica SIL"/>
          <w:sz w:val="20"/>
          <w:szCs w:val="20"/>
        </w:rPr>
        <w:t>Duration:</w:t>
      </w:r>
      <w:r>
        <w:rPr>
          <w:rFonts w:ascii="Abyssinica SIL" w:hAnsi="Abyssinica SIL"/>
          <w:sz w:val="20"/>
          <w:szCs w:val="20"/>
        </w:rPr>
        <w:t xml:space="preserve"> 8 Months</w:t>
      </w:r>
    </w:p>
    <w:p>
      <w:pPr>
        <w:pStyle w:val="Heading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>Responsibilities</w:t>
      </w:r>
    </w:p>
    <w:p>
      <w:pPr>
        <w:pStyle w:val="TextBody"/>
        <w:numPr>
          <w:ilvl w:val="0"/>
          <w:numId w:val="3"/>
        </w:numPr>
        <w:tabs>
          <w:tab w:val="left" w:pos="0" w:leader="none"/>
        </w:tabs>
        <w:ind w:left="707" w:hanging="283"/>
        <w:rPr/>
      </w:pPr>
      <w:r>
        <w:rPr>
          <w:rFonts w:ascii="Abyssinica SIL" w:hAnsi="Abyssinica SIL"/>
          <w:sz w:val="20"/>
          <w:szCs w:val="20"/>
        </w:rPr>
        <w:t xml:space="preserve">Conducted enterprise-wide IAM maturity assessments across </w:t>
      </w:r>
      <w:r>
        <w:rPr>
          <w:rStyle w:val="StrongEmphasis"/>
          <w:rFonts w:ascii="Abyssinica SIL" w:hAnsi="Abyssinica SIL"/>
          <w:sz w:val="20"/>
          <w:szCs w:val="20"/>
        </w:rPr>
        <w:t>People, Process, and Technology</w:t>
      </w:r>
      <w:r>
        <w:rPr>
          <w:rFonts w:ascii="Abyssinica SIL" w:hAnsi="Abyssinica SIL"/>
          <w:sz w:val="20"/>
          <w:szCs w:val="20"/>
        </w:rPr>
        <w:t xml:space="preserve"> domains. </w:t>
      </w:r>
    </w:p>
    <w:p>
      <w:pPr>
        <w:pStyle w:val="TextBody"/>
        <w:numPr>
          <w:ilvl w:val="0"/>
          <w:numId w:val="3"/>
        </w:numPr>
        <w:tabs>
          <w:tab w:val="left" w:pos="0" w:leader="none"/>
        </w:tabs>
        <w:ind w:left="707" w:hanging="28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Performed stakeholder workshops to evaluate existing IAM capabilities and identify business requirements. </w:t>
      </w:r>
    </w:p>
    <w:p>
      <w:pPr>
        <w:pStyle w:val="TextBody"/>
        <w:numPr>
          <w:ilvl w:val="0"/>
          <w:numId w:val="3"/>
        </w:numPr>
        <w:tabs>
          <w:tab w:val="left" w:pos="0" w:leader="none"/>
        </w:tabs>
        <w:ind w:left="707" w:hanging="28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Reviewed High-Level Designs (HLDs), SOPs, operational runbooks, and IAM governance processes. </w:t>
      </w:r>
    </w:p>
    <w:p>
      <w:pPr>
        <w:pStyle w:val="TextBody"/>
        <w:numPr>
          <w:ilvl w:val="0"/>
          <w:numId w:val="3"/>
        </w:numPr>
        <w:tabs>
          <w:tab w:val="left" w:pos="0" w:leader="none"/>
        </w:tabs>
        <w:ind w:left="707" w:hanging="28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Assessed authentication models, identity stores, provisioning workflows, and federation services. </w:t>
      </w:r>
    </w:p>
    <w:p>
      <w:pPr>
        <w:pStyle w:val="TextBody"/>
        <w:numPr>
          <w:ilvl w:val="0"/>
          <w:numId w:val="3"/>
        </w:numPr>
        <w:tabs>
          <w:tab w:val="left" w:pos="0" w:leader="none"/>
        </w:tabs>
        <w:ind w:left="707" w:hanging="28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Identified security, operational, governance, and compliance gaps. </w:t>
      </w:r>
    </w:p>
    <w:p>
      <w:pPr>
        <w:pStyle w:val="TextBody"/>
        <w:numPr>
          <w:ilvl w:val="0"/>
          <w:numId w:val="3"/>
        </w:numPr>
        <w:tabs>
          <w:tab w:val="left" w:pos="0" w:leader="none"/>
        </w:tabs>
        <w:ind w:left="707" w:hanging="28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Designed a vendor-neutral Target-State IAM Architecture. </w:t>
      </w:r>
    </w:p>
    <w:p>
      <w:pPr>
        <w:pStyle w:val="TextBody"/>
        <w:numPr>
          <w:ilvl w:val="0"/>
          <w:numId w:val="3"/>
        </w:numPr>
        <w:tabs>
          <w:tab w:val="left" w:pos="0" w:leader="none"/>
        </w:tabs>
        <w:spacing w:before="0" w:after="283"/>
        <w:ind w:left="707" w:hanging="28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Developed a multi-year IAM Transformation Roadmap aligned with business and security objectives. </w:t>
      </w:r>
    </w:p>
    <w:p>
      <w:pPr>
        <w:pStyle w:val="TextBody"/>
        <w:spacing w:before="0" w:after="283"/>
        <w:rPr/>
      </w:pPr>
      <w:r>
        <w:rPr>
          <w:rStyle w:val="StrongEmphasis"/>
          <w:rFonts w:ascii="Abyssinica SIL" w:hAnsi="Abyssinica SIL"/>
          <w:sz w:val="20"/>
          <w:szCs w:val="20"/>
        </w:rPr>
        <w:t>Environment</w:t>
      </w:r>
      <w:r>
        <w:rPr>
          <w:rFonts w:ascii="Abyssinica SIL" w:hAnsi="Abyssinica SIL"/>
          <w:sz w:val="20"/>
          <w:szCs w:val="20"/>
        </w:rPr>
        <w:br/>
        <w:t>Microsoft Entra ID, Active Directory, LDAP, Azure PIM, Microsoft Identity Manager, SAML, OAuth, OpenID Connect, MFA.</w:t>
      </w:r>
    </w:p>
    <w:p>
      <w:pPr>
        <w:pStyle w:val="HorizontalLine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</w:r>
    </w:p>
    <w:p>
      <w:pPr>
        <w:pStyle w:val="Heading1"/>
        <w:spacing w:before="0" w:after="28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>Project 2: Identity Governance &amp; Lifecycle Management</w:t>
      </w:r>
    </w:p>
    <w:p>
      <w:pPr>
        <w:pStyle w:val="TextBody"/>
        <w:spacing w:before="0" w:after="283"/>
        <w:rPr/>
      </w:pPr>
      <w:r>
        <w:rPr>
          <w:rStyle w:val="StrongEmphasis"/>
          <w:rFonts w:ascii="Abyssinica SIL" w:hAnsi="Abyssinica SIL"/>
          <w:sz w:val="20"/>
          <w:szCs w:val="20"/>
        </w:rPr>
        <w:t>Client:</w:t>
      </w:r>
      <w:r>
        <w:rPr>
          <w:rFonts w:ascii="Abyssinica SIL" w:hAnsi="Abyssinica SIL"/>
          <w:sz w:val="20"/>
          <w:szCs w:val="20"/>
        </w:rPr>
        <w:t xml:space="preserve"> Global Healthcare Enterprise</w:t>
      </w:r>
    </w:p>
    <w:p>
      <w:pPr>
        <w:pStyle w:val="TextBody"/>
        <w:spacing w:before="0" w:after="283"/>
        <w:rPr/>
      </w:pPr>
      <w:r>
        <w:rPr>
          <w:rStyle w:val="StrongEmphasis"/>
          <w:rFonts w:ascii="Abyssinica SIL" w:hAnsi="Abyssinica SIL"/>
          <w:sz w:val="20"/>
          <w:szCs w:val="20"/>
        </w:rPr>
        <w:t>Role:</w:t>
      </w:r>
      <w:r>
        <w:rPr>
          <w:rFonts w:ascii="Abyssinica SIL" w:hAnsi="Abyssinica SIL"/>
          <w:sz w:val="20"/>
          <w:szCs w:val="20"/>
        </w:rPr>
        <w:t xml:space="preserve"> IAM Technical Lead</w:t>
      </w:r>
    </w:p>
    <w:p>
      <w:pPr>
        <w:pStyle w:val="TextBody"/>
        <w:spacing w:before="0" w:after="283"/>
        <w:rPr/>
      </w:pPr>
      <w:r>
        <w:rPr>
          <w:rStyle w:val="StrongEmphasis"/>
          <w:rFonts w:ascii="Abyssinica SIL" w:hAnsi="Abyssinica SIL"/>
          <w:sz w:val="20"/>
          <w:szCs w:val="20"/>
        </w:rPr>
        <w:t>Duration:</w:t>
      </w:r>
      <w:r>
        <w:rPr>
          <w:rFonts w:ascii="Abyssinica SIL" w:hAnsi="Abyssinica SIL"/>
          <w:sz w:val="20"/>
          <w:szCs w:val="20"/>
        </w:rPr>
        <w:t xml:space="preserve"> 1 Year</w:t>
      </w:r>
    </w:p>
    <w:p>
      <w:pPr>
        <w:pStyle w:val="Heading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>Responsibilities</w:t>
      </w:r>
    </w:p>
    <w:p>
      <w:pPr>
        <w:pStyle w:val="TextBody"/>
        <w:numPr>
          <w:ilvl w:val="0"/>
          <w:numId w:val="4"/>
        </w:numPr>
        <w:tabs>
          <w:tab w:val="left" w:pos="0" w:leader="none"/>
        </w:tabs>
        <w:ind w:left="707" w:hanging="28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Implemented Identity Governance and Administration (IGA) solutions using Microsoft Identity Manager. </w:t>
      </w:r>
    </w:p>
    <w:p>
      <w:pPr>
        <w:pStyle w:val="TextBody"/>
        <w:numPr>
          <w:ilvl w:val="0"/>
          <w:numId w:val="4"/>
        </w:numPr>
        <w:tabs>
          <w:tab w:val="left" w:pos="0" w:leader="none"/>
        </w:tabs>
        <w:ind w:left="707" w:hanging="28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Automated Joiner-Mover-Leaver (JML) lifecycle processes. </w:t>
      </w:r>
    </w:p>
    <w:p>
      <w:pPr>
        <w:pStyle w:val="TextBody"/>
        <w:numPr>
          <w:ilvl w:val="0"/>
          <w:numId w:val="4"/>
        </w:numPr>
        <w:tabs>
          <w:tab w:val="left" w:pos="0" w:leader="none"/>
        </w:tabs>
        <w:ind w:left="707" w:hanging="28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Designed Role-Based Access Control (RBAC) models. </w:t>
      </w:r>
    </w:p>
    <w:p>
      <w:pPr>
        <w:pStyle w:val="TextBody"/>
        <w:numPr>
          <w:ilvl w:val="0"/>
          <w:numId w:val="4"/>
        </w:numPr>
        <w:tabs>
          <w:tab w:val="left" w:pos="0" w:leader="none"/>
        </w:tabs>
        <w:ind w:left="707" w:hanging="28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Implemented Segregation of Duties (SoD) policies. </w:t>
      </w:r>
    </w:p>
    <w:p>
      <w:pPr>
        <w:pStyle w:val="TextBody"/>
        <w:numPr>
          <w:ilvl w:val="0"/>
          <w:numId w:val="4"/>
        </w:numPr>
        <w:tabs>
          <w:tab w:val="left" w:pos="0" w:leader="none"/>
        </w:tabs>
        <w:ind w:left="707" w:hanging="28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Automated user provisioning and de-provisioning. </w:t>
      </w:r>
    </w:p>
    <w:p>
      <w:pPr>
        <w:pStyle w:val="TextBody"/>
        <w:numPr>
          <w:ilvl w:val="0"/>
          <w:numId w:val="4"/>
        </w:numPr>
        <w:tabs>
          <w:tab w:val="left" w:pos="0" w:leader="none"/>
        </w:tabs>
        <w:ind w:left="707" w:hanging="28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Performed Access Reviews and Identity Certification campaigns. </w:t>
      </w:r>
    </w:p>
    <w:p>
      <w:pPr>
        <w:pStyle w:val="TextBody"/>
        <w:numPr>
          <w:ilvl w:val="0"/>
          <w:numId w:val="4"/>
        </w:numPr>
        <w:tabs>
          <w:tab w:val="left" w:pos="0" w:leader="none"/>
        </w:tabs>
        <w:spacing w:before="0" w:after="283"/>
        <w:ind w:left="707" w:hanging="28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Reduced manual provisioning effort through workflow automation. </w:t>
      </w:r>
    </w:p>
    <w:p>
      <w:pPr>
        <w:pStyle w:val="TextBody"/>
        <w:spacing w:before="0" w:after="283"/>
        <w:rPr/>
      </w:pPr>
      <w:r>
        <w:rPr>
          <w:rStyle w:val="StrongEmphasis"/>
          <w:rFonts w:ascii="Abyssinica SIL" w:hAnsi="Abyssinica SIL"/>
          <w:sz w:val="20"/>
          <w:szCs w:val="20"/>
        </w:rPr>
        <w:t>Environment</w:t>
      </w:r>
      <w:r>
        <w:rPr>
          <w:rFonts w:ascii="Abyssinica SIL" w:hAnsi="Abyssinica SIL"/>
          <w:sz w:val="20"/>
          <w:szCs w:val="20"/>
        </w:rPr>
        <w:br/>
        <w:t>Microsoft Identity Manager 2016, Active Directory, Entra ID, SQL Server, PowerShell, LDAP.</w:t>
      </w:r>
    </w:p>
    <w:p>
      <w:pPr>
        <w:pStyle w:val="HorizontalLine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</w:r>
    </w:p>
    <w:p>
      <w:pPr>
        <w:pStyle w:val="Heading1"/>
        <w:spacing w:before="0" w:after="28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>Project 3: Privileged Access Management Implementation</w:t>
      </w:r>
    </w:p>
    <w:p>
      <w:pPr>
        <w:pStyle w:val="TextBody"/>
        <w:spacing w:before="0" w:after="283"/>
        <w:rPr/>
      </w:pPr>
      <w:r>
        <w:rPr>
          <w:rStyle w:val="StrongEmphasis"/>
          <w:rFonts w:ascii="Abyssinica SIL" w:hAnsi="Abyssinica SIL"/>
          <w:sz w:val="20"/>
          <w:szCs w:val="20"/>
        </w:rPr>
        <w:t>Client:</w:t>
      </w:r>
      <w:r>
        <w:rPr>
          <w:rFonts w:ascii="Abyssinica SIL" w:hAnsi="Abyssinica SIL"/>
          <w:sz w:val="20"/>
          <w:szCs w:val="20"/>
        </w:rPr>
        <w:t xml:space="preserve"> Global Financial Organization</w:t>
      </w:r>
    </w:p>
    <w:p>
      <w:pPr>
        <w:pStyle w:val="TextBody"/>
        <w:spacing w:before="0" w:after="283"/>
        <w:rPr/>
      </w:pPr>
      <w:r>
        <w:rPr>
          <w:rStyle w:val="StrongEmphasis"/>
          <w:rFonts w:ascii="Abyssinica SIL" w:hAnsi="Abyssinica SIL"/>
          <w:sz w:val="20"/>
          <w:szCs w:val="20"/>
        </w:rPr>
        <w:t>Role:</w:t>
      </w:r>
      <w:r>
        <w:rPr>
          <w:rFonts w:ascii="Abyssinica SIL" w:hAnsi="Abyssinica SIL"/>
          <w:sz w:val="20"/>
          <w:szCs w:val="20"/>
        </w:rPr>
        <w:t xml:space="preserve"> Senior PAM Engineer</w:t>
      </w:r>
    </w:p>
    <w:p>
      <w:pPr>
        <w:pStyle w:val="TextBody"/>
        <w:spacing w:before="0" w:after="283"/>
        <w:rPr/>
      </w:pPr>
      <w:r>
        <w:rPr>
          <w:rStyle w:val="StrongEmphasis"/>
          <w:rFonts w:ascii="Abyssinica SIL" w:hAnsi="Abyssinica SIL"/>
          <w:sz w:val="20"/>
          <w:szCs w:val="20"/>
        </w:rPr>
        <w:t>Duration:</w:t>
      </w:r>
      <w:r>
        <w:rPr>
          <w:rFonts w:ascii="Abyssinica SIL" w:hAnsi="Abyssinica SIL"/>
          <w:sz w:val="20"/>
          <w:szCs w:val="20"/>
        </w:rPr>
        <w:t xml:space="preserve"> 10 Months</w:t>
      </w:r>
    </w:p>
    <w:p>
      <w:pPr>
        <w:pStyle w:val="Heading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>Responsibilities</w:t>
      </w:r>
    </w:p>
    <w:p>
      <w:pPr>
        <w:pStyle w:val="TextBody"/>
        <w:numPr>
          <w:ilvl w:val="0"/>
          <w:numId w:val="5"/>
        </w:numPr>
        <w:tabs>
          <w:tab w:val="left" w:pos="0" w:leader="none"/>
        </w:tabs>
        <w:ind w:left="707" w:hanging="28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Implemented Thycotic Secret Server for privileged credential management. </w:t>
      </w:r>
    </w:p>
    <w:p>
      <w:pPr>
        <w:pStyle w:val="TextBody"/>
        <w:numPr>
          <w:ilvl w:val="0"/>
          <w:numId w:val="5"/>
        </w:numPr>
        <w:tabs>
          <w:tab w:val="left" w:pos="0" w:leader="none"/>
        </w:tabs>
        <w:ind w:left="707" w:hanging="28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Configured Azure Privileged Identity Management (PIM). </w:t>
      </w:r>
    </w:p>
    <w:p>
      <w:pPr>
        <w:pStyle w:val="TextBody"/>
        <w:numPr>
          <w:ilvl w:val="0"/>
          <w:numId w:val="5"/>
        </w:numPr>
        <w:tabs>
          <w:tab w:val="left" w:pos="0" w:leader="none"/>
        </w:tabs>
        <w:ind w:left="707" w:hanging="28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Implemented Just-In-Time (JIT) privileged access. </w:t>
      </w:r>
    </w:p>
    <w:p>
      <w:pPr>
        <w:pStyle w:val="TextBody"/>
        <w:numPr>
          <w:ilvl w:val="0"/>
          <w:numId w:val="5"/>
        </w:numPr>
        <w:tabs>
          <w:tab w:val="left" w:pos="0" w:leader="none"/>
        </w:tabs>
        <w:ind w:left="707" w:hanging="28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Enforced Least Privilege access using Azure RBAC. </w:t>
      </w:r>
    </w:p>
    <w:p>
      <w:pPr>
        <w:pStyle w:val="TextBody"/>
        <w:numPr>
          <w:ilvl w:val="0"/>
          <w:numId w:val="5"/>
        </w:numPr>
        <w:tabs>
          <w:tab w:val="left" w:pos="0" w:leader="none"/>
        </w:tabs>
        <w:ind w:left="707" w:hanging="28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Configured approval workflows and MFA for privileged access. </w:t>
      </w:r>
    </w:p>
    <w:p>
      <w:pPr>
        <w:pStyle w:val="TextBody"/>
        <w:numPr>
          <w:ilvl w:val="0"/>
          <w:numId w:val="5"/>
        </w:numPr>
        <w:tabs>
          <w:tab w:val="left" w:pos="0" w:leader="none"/>
        </w:tabs>
        <w:ind w:left="707" w:hanging="28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Performed privileged access reviews and audit reporting. </w:t>
      </w:r>
    </w:p>
    <w:p>
      <w:pPr>
        <w:pStyle w:val="TextBody"/>
        <w:numPr>
          <w:ilvl w:val="0"/>
          <w:numId w:val="5"/>
        </w:numPr>
        <w:tabs>
          <w:tab w:val="left" w:pos="0" w:leader="none"/>
        </w:tabs>
        <w:spacing w:before="0" w:after="283"/>
        <w:ind w:left="707" w:hanging="28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Integrated PAM with Active Directory and Azure AD. </w:t>
      </w:r>
    </w:p>
    <w:p>
      <w:pPr>
        <w:pStyle w:val="TextBody"/>
        <w:spacing w:before="0" w:after="283"/>
        <w:rPr/>
      </w:pPr>
      <w:r>
        <w:rPr>
          <w:rStyle w:val="StrongEmphasis"/>
          <w:rFonts w:ascii="Abyssinica SIL" w:hAnsi="Abyssinica SIL"/>
          <w:sz w:val="20"/>
          <w:szCs w:val="20"/>
        </w:rPr>
        <w:t>Environment</w:t>
      </w:r>
      <w:r>
        <w:rPr>
          <w:rFonts w:ascii="Abyssinica SIL" w:hAnsi="Abyssinica SIL"/>
          <w:sz w:val="20"/>
          <w:szCs w:val="20"/>
        </w:rPr>
        <w:br/>
        <w:t>Thycotic Secret Server, Azure PIM, Entra ID, Active Directory, Azure RBAC, MFA.</w:t>
      </w:r>
    </w:p>
    <w:p>
      <w:pPr>
        <w:pStyle w:val="HorizontalLine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</w:r>
    </w:p>
    <w:p>
      <w:pPr>
        <w:pStyle w:val="Heading1"/>
        <w:spacing w:before="0" w:after="28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>Project 4: Enterprise SSO &amp; Federation Modernization</w:t>
      </w:r>
    </w:p>
    <w:p>
      <w:pPr>
        <w:pStyle w:val="TextBody"/>
        <w:spacing w:before="0" w:after="283"/>
        <w:rPr/>
      </w:pPr>
      <w:r>
        <w:rPr>
          <w:rStyle w:val="StrongEmphasis"/>
          <w:rFonts w:ascii="Abyssinica SIL" w:hAnsi="Abyssinica SIL"/>
          <w:sz w:val="20"/>
          <w:szCs w:val="20"/>
        </w:rPr>
        <w:t>Client:</w:t>
      </w:r>
      <w:r>
        <w:rPr>
          <w:rFonts w:ascii="Abyssinica SIL" w:hAnsi="Abyssinica SIL"/>
          <w:sz w:val="20"/>
          <w:szCs w:val="20"/>
        </w:rPr>
        <w:t xml:space="preserve"> Global Manufacturing Enterprise</w:t>
      </w:r>
    </w:p>
    <w:p>
      <w:pPr>
        <w:pStyle w:val="TextBody"/>
        <w:spacing w:before="0" w:after="283"/>
        <w:rPr/>
      </w:pPr>
      <w:r>
        <w:rPr>
          <w:rStyle w:val="StrongEmphasis"/>
          <w:rFonts w:ascii="Abyssinica SIL" w:hAnsi="Abyssinica SIL"/>
          <w:sz w:val="20"/>
          <w:szCs w:val="20"/>
        </w:rPr>
        <w:t>Role:</w:t>
      </w:r>
      <w:r>
        <w:rPr>
          <w:rFonts w:ascii="Abyssinica SIL" w:hAnsi="Abyssinica SIL"/>
          <w:sz w:val="20"/>
          <w:szCs w:val="20"/>
        </w:rPr>
        <w:t xml:space="preserve"> IAM Solution Architect</w:t>
      </w:r>
    </w:p>
    <w:p>
      <w:pPr>
        <w:pStyle w:val="TextBody"/>
        <w:spacing w:before="0" w:after="283"/>
        <w:rPr/>
      </w:pPr>
      <w:r>
        <w:rPr>
          <w:rStyle w:val="StrongEmphasis"/>
          <w:rFonts w:ascii="Abyssinica SIL" w:hAnsi="Abyssinica SIL"/>
          <w:sz w:val="20"/>
          <w:szCs w:val="20"/>
        </w:rPr>
        <w:t>Duration:</w:t>
      </w:r>
      <w:r>
        <w:rPr>
          <w:rFonts w:ascii="Abyssinica SIL" w:hAnsi="Abyssinica SIL"/>
          <w:sz w:val="20"/>
          <w:szCs w:val="20"/>
        </w:rPr>
        <w:t xml:space="preserve"> 9 Months</w:t>
      </w:r>
    </w:p>
    <w:p>
      <w:pPr>
        <w:pStyle w:val="Heading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>Responsibilities</w:t>
      </w:r>
    </w:p>
    <w:p>
      <w:pPr>
        <w:pStyle w:val="TextBody"/>
        <w:numPr>
          <w:ilvl w:val="0"/>
          <w:numId w:val="6"/>
        </w:numPr>
        <w:tabs>
          <w:tab w:val="left" w:pos="0" w:leader="none"/>
        </w:tabs>
        <w:ind w:left="707" w:hanging="28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Designed enterprise authentication and authorization architecture. </w:t>
      </w:r>
    </w:p>
    <w:p>
      <w:pPr>
        <w:pStyle w:val="TextBody"/>
        <w:numPr>
          <w:ilvl w:val="0"/>
          <w:numId w:val="6"/>
        </w:numPr>
        <w:tabs>
          <w:tab w:val="left" w:pos="0" w:leader="none"/>
        </w:tabs>
        <w:ind w:left="707" w:hanging="28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Implemented Single Sign-On (SSO) for enterprise applications. </w:t>
      </w:r>
    </w:p>
    <w:p>
      <w:pPr>
        <w:pStyle w:val="TextBody"/>
        <w:numPr>
          <w:ilvl w:val="0"/>
          <w:numId w:val="6"/>
        </w:numPr>
        <w:tabs>
          <w:tab w:val="left" w:pos="0" w:leader="none"/>
        </w:tabs>
        <w:ind w:left="707" w:hanging="28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Configured ADFS Federation Services. </w:t>
      </w:r>
    </w:p>
    <w:p>
      <w:pPr>
        <w:pStyle w:val="TextBody"/>
        <w:numPr>
          <w:ilvl w:val="0"/>
          <w:numId w:val="6"/>
        </w:numPr>
        <w:tabs>
          <w:tab w:val="left" w:pos="0" w:leader="none"/>
        </w:tabs>
        <w:ind w:left="707" w:hanging="28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Integrated cloud and on-premises applications using SAML, OAuth, and OpenID Connect. </w:t>
      </w:r>
    </w:p>
    <w:p>
      <w:pPr>
        <w:pStyle w:val="TextBody"/>
        <w:numPr>
          <w:ilvl w:val="0"/>
          <w:numId w:val="6"/>
        </w:numPr>
        <w:tabs>
          <w:tab w:val="left" w:pos="0" w:leader="none"/>
        </w:tabs>
        <w:ind w:left="707" w:hanging="28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Implemented Azure MFA and Conditional Access. </w:t>
      </w:r>
    </w:p>
    <w:p>
      <w:pPr>
        <w:pStyle w:val="TextBody"/>
        <w:numPr>
          <w:ilvl w:val="0"/>
          <w:numId w:val="6"/>
        </w:numPr>
        <w:tabs>
          <w:tab w:val="left" w:pos="0" w:leader="none"/>
        </w:tabs>
        <w:ind w:left="707" w:hanging="28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Migrated legacy authentication to Microsoft Entra ID. </w:t>
      </w:r>
    </w:p>
    <w:p>
      <w:pPr>
        <w:pStyle w:val="TextBody"/>
        <w:numPr>
          <w:ilvl w:val="0"/>
          <w:numId w:val="6"/>
        </w:numPr>
        <w:tabs>
          <w:tab w:val="left" w:pos="0" w:leader="none"/>
        </w:tabs>
        <w:spacing w:before="0" w:after="283"/>
        <w:ind w:left="707" w:hanging="28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Improved user experience while strengthening security controls. </w:t>
      </w:r>
    </w:p>
    <w:p>
      <w:pPr>
        <w:pStyle w:val="TextBody"/>
        <w:spacing w:before="0" w:after="283"/>
        <w:rPr/>
      </w:pPr>
      <w:r>
        <w:rPr>
          <w:rStyle w:val="StrongEmphasis"/>
          <w:rFonts w:ascii="Abyssinica SIL" w:hAnsi="Abyssinica SIL"/>
          <w:sz w:val="20"/>
          <w:szCs w:val="20"/>
        </w:rPr>
        <w:t>Environment</w:t>
      </w:r>
      <w:r>
        <w:rPr>
          <w:rFonts w:ascii="Abyssinica SIL" w:hAnsi="Abyssinica SIL"/>
          <w:sz w:val="20"/>
          <w:szCs w:val="20"/>
        </w:rPr>
        <w:br/>
        <w:t>ADFS, Microsoft Entra ID, Active Directory, LDAP, Azure MFA, SAML, OAuth 2.0, OpenID Connect.</w:t>
      </w:r>
    </w:p>
    <w:p>
      <w:pPr>
        <w:pStyle w:val="HorizontalLine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</w:r>
    </w:p>
    <w:p>
      <w:pPr>
        <w:pStyle w:val="Heading1"/>
        <w:spacing w:before="0" w:after="28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>Project 5: Hybrid Identity Infrastructure Migration</w:t>
      </w:r>
    </w:p>
    <w:p>
      <w:pPr>
        <w:pStyle w:val="TextBody"/>
        <w:spacing w:before="0" w:after="283"/>
        <w:rPr/>
      </w:pPr>
      <w:r>
        <w:rPr>
          <w:rStyle w:val="StrongEmphasis"/>
          <w:rFonts w:ascii="Abyssinica SIL" w:hAnsi="Abyssinica SIL"/>
          <w:sz w:val="20"/>
          <w:szCs w:val="20"/>
        </w:rPr>
        <w:t>Client:</w:t>
      </w:r>
      <w:r>
        <w:rPr>
          <w:rFonts w:ascii="Abyssinica SIL" w:hAnsi="Abyssinica SIL"/>
          <w:sz w:val="20"/>
          <w:szCs w:val="20"/>
        </w:rPr>
        <w:t xml:space="preserve"> Global Technology Enterprise</w:t>
      </w:r>
    </w:p>
    <w:p>
      <w:pPr>
        <w:pStyle w:val="TextBody"/>
        <w:spacing w:before="0" w:after="283"/>
        <w:rPr/>
      </w:pPr>
      <w:r>
        <w:rPr>
          <w:rStyle w:val="StrongEmphasis"/>
          <w:rFonts w:ascii="Abyssinica SIL" w:hAnsi="Abyssinica SIL"/>
          <w:sz w:val="20"/>
          <w:szCs w:val="20"/>
        </w:rPr>
        <w:t>Role:</w:t>
      </w:r>
      <w:r>
        <w:rPr>
          <w:rFonts w:ascii="Abyssinica SIL" w:hAnsi="Abyssinica SIL"/>
          <w:sz w:val="20"/>
          <w:szCs w:val="20"/>
        </w:rPr>
        <w:t xml:space="preserve"> Identity Architect</w:t>
      </w:r>
    </w:p>
    <w:p>
      <w:pPr>
        <w:pStyle w:val="TextBody"/>
        <w:spacing w:before="0" w:after="283"/>
        <w:rPr/>
      </w:pPr>
      <w:r>
        <w:rPr>
          <w:rStyle w:val="StrongEmphasis"/>
          <w:rFonts w:ascii="Abyssinica SIL" w:hAnsi="Abyssinica SIL"/>
          <w:sz w:val="20"/>
          <w:szCs w:val="20"/>
        </w:rPr>
        <w:t>Duration:</w:t>
      </w:r>
      <w:r>
        <w:rPr>
          <w:rFonts w:ascii="Abyssinica SIL" w:hAnsi="Abyssinica SIL"/>
          <w:sz w:val="20"/>
          <w:szCs w:val="20"/>
        </w:rPr>
        <w:t xml:space="preserve"> 11 Months</w:t>
      </w:r>
    </w:p>
    <w:p>
      <w:pPr>
        <w:pStyle w:val="Heading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>Responsibilities</w:t>
      </w:r>
    </w:p>
    <w:p>
      <w:pPr>
        <w:pStyle w:val="TextBody"/>
        <w:numPr>
          <w:ilvl w:val="0"/>
          <w:numId w:val="7"/>
        </w:numPr>
        <w:tabs>
          <w:tab w:val="left" w:pos="0" w:leader="none"/>
        </w:tabs>
        <w:ind w:left="707" w:hanging="28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Designed and implemented Hybrid Identity architecture. </w:t>
      </w:r>
    </w:p>
    <w:p>
      <w:pPr>
        <w:pStyle w:val="TextBody"/>
        <w:numPr>
          <w:ilvl w:val="0"/>
          <w:numId w:val="7"/>
        </w:numPr>
        <w:tabs>
          <w:tab w:val="left" w:pos="0" w:leader="none"/>
        </w:tabs>
        <w:ind w:left="707" w:hanging="28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Migrated users from on-premises Active Directory to Microsoft Entra ID. </w:t>
      </w:r>
    </w:p>
    <w:p>
      <w:pPr>
        <w:pStyle w:val="TextBody"/>
        <w:numPr>
          <w:ilvl w:val="0"/>
          <w:numId w:val="7"/>
        </w:numPr>
        <w:tabs>
          <w:tab w:val="left" w:pos="0" w:leader="none"/>
        </w:tabs>
        <w:ind w:left="707" w:hanging="28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Configured Azure AD Connect synchronization. </w:t>
      </w:r>
    </w:p>
    <w:p>
      <w:pPr>
        <w:pStyle w:val="TextBody"/>
        <w:numPr>
          <w:ilvl w:val="0"/>
          <w:numId w:val="7"/>
        </w:numPr>
        <w:tabs>
          <w:tab w:val="left" w:pos="0" w:leader="none"/>
        </w:tabs>
        <w:ind w:left="707" w:hanging="28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Implemented Password Hash Synchronization and Seamless SSO. </w:t>
      </w:r>
    </w:p>
    <w:p>
      <w:pPr>
        <w:pStyle w:val="TextBody"/>
        <w:numPr>
          <w:ilvl w:val="0"/>
          <w:numId w:val="7"/>
        </w:numPr>
        <w:tabs>
          <w:tab w:val="left" w:pos="0" w:leader="none"/>
        </w:tabs>
        <w:ind w:left="707" w:hanging="28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Managed identity synchronization across multiple forests. </w:t>
      </w:r>
    </w:p>
    <w:p>
      <w:pPr>
        <w:pStyle w:val="TextBody"/>
        <w:numPr>
          <w:ilvl w:val="0"/>
          <w:numId w:val="7"/>
        </w:numPr>
        <w:tabs>
          <w:tab w:val="left" w:pos="0" w:leader="none"/>
        </w:tabs>
        <w:ind w:left="707" w:hanging="28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Configured certificate lifecycle management and ADFS infrastructure. </w:t>
      </w:r>
    </w:p>
    <w:p>
      <w:pPr>
        <w:pStyle w:val="TextBody"/>
        <w:numPr>
          <w:ilvl w:val="0"/>
          <w:numId w:val="7"/>
        </w:numPr>
        <w:tabs>
          <w:tab w:val="left" w:pos="0" w:leader="none"/>
        </w:tabs>
        <w:spacing w:before="0" w:after="283"/>
        <w:ind w:left="707" w:hanging="28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Improved identity availability and operational efficiency. </w:t>
      </w:r>
    </w:p>
    <w:p>
      <w:pPr>
        <w:pStyle w:val="TextBody"/>
        <w:spacing w:before="0" w:after="283"/>
        <w:rPr/>
      </w:pPr>
      <w:r>
        <w:rPr>
          <w:rStyle w:val="StrongEmphasis"/>
          <w:rFonts w:ascii="Abyssinica SIL" w:hAnsi="Abyssinica SIL"/>
          <w:sz w:val="20"/>
          <w:szCs w:val="20"/>
        </w:rPr>
        <w:t>Environment</w:t>
      </w:r>
      <w:r>
        <w:rPr>
          <w:rFonts w:ascii="Abyssinica SIL" w:hAnsi="Abyssinica SIL"/>
          <w:sz w:val="20"/>
          <w:szCs w:val="20"/>
        </w:rPr>
        <w:br/>
        <w:t>Microsoft Entra ID, Azure AD Connect, Active Directory, ADFS, LDAP, PKI, PowerShell.</w:t>
      </w:r>
    </w:p>
    <w:p>
      <w:pPr>
        <w:pStyle w:val="HorizontalLine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</w:r>
    </w:p>
    <w:p>
      <w:pPr>
        <w:pStyle w:val="Heading1"/>
        <w:spacing w:before="0" w:after="28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>Project 6: Enterprise IAM Governance &amp; Compliance</w:t>
      </w:r>
    </w:p>
    <w:p>
      <w:pPr>
        <w:pStyle w:val="TextBody"/>
        <w:spacing w:before="0" w:after="283"/>
        <w:rPr/>
      </w:pPr>
      <w:r>
        <w:rPr>
          <w:rStyle w:val="StrongEmphasis"/>
          <w:rFonts w:ascii="Abyssinica SIL" w:hAnsi="Abyssinica SIL"/>
          <w:sz w:val="20"/>
          <w:szCs w:val="20"/>
        </w:rPr>
        <w:t>Client:</w:t>
      </w:r>
      <w:r>
        <w:rPr>
          <w:rFonts w:ascii="Abyssinica SIL" w:hAnsi="Abyssinica SIL"/>
          <w:sz w:val="20"/>
          <w:szCs w:val="20"/>
        </w:rPr>
        <w:t xml:space="preserve"> Global Banking Enterprise</w:t>
      </w:r>
    </w:p>
    <w:p>
      <w:pPr>
        <w:pStyle w:val="TextBody"/>
        <w:spacing w:before="0" w:after="283"/>
        <w:rPr/>
      </w:pPr>
      <w:r>
        <w:rPr>
          <w:rStyle w:val="StrongEmphasis"/>
          <w:rFonts w:ascii="Abyssinica SIL" w:hAnsi="Abyssinica SIL"/>
          <w:sz w:val="20"/>
          <w:szCs w:val="20"/>
        </w:rPr>
        <w:t>Role:</w:t>
      </w:r>
      <w:r>
        <w:rPr>
          <w:rFonts w:ascii="Abyssinica SIL" w:hAnsi="Abyssinica SIL"/>
          <w:sz w:val="20"/>
          <w:szCs w:val="20"/>
        </w:rPr>
        <w:t xml:space="preserve"> Senior IAM Consultant</w:t>
      </w:r>
    </w:p>
    <w:p>
      <w:pPr>
        <w:pStyle w:val="TextBody"/>
        <w:spacing w:before="0" w:after="283"/>
        <w:rPr/>
      </w:pPr>
      <w:r>
        <w:rPr>
          <w:rStyle w:val="StrongEmphasis"/>
          <w:rFonts w:ascii="Abyssinica SIL" w:hAnsi="Abyssinica SIL"/>
          <w:sz w:val="20"/>
          <w:szCs w:val="20"/>
        </w:rPr>
        <w:t>Duration:</w:t>
      </w:r>
      <w:r>
        <w:rPr>
          <w:rFonts w:ascii="Abyssinica SIL" w:hAnsi="Abyssinica SIL"/>
          <w:sz w:val="20"/>
          <w:szCs w:val="20"/>
        </w:rPr>
        <w:t xml:space="preserve"> 7 Months</w:t>
      </w:r>
    </w:p>
    <w:p>
      <w:pPr>
        <w:pStyle w:val="Heading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>Responsibilities</w:t>
      </w:r>
    </w:p>
    <w:p>
      <w:pPr>
        <w:pStyle w:val="TextBody"/>
        <w:numPr>
          <w:ilvl w:val="0"/>
          <w:numId w:val="8"/>
        </w:numPr>
        <w:tabs>
          <w:tab w:val="left" w:pos="0" w:leader="none"/>
        </w:tabs>
        <w:ind w:left="707" w:hanging="28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Conducted enterprise IAM governance assessments. </w:t>
      </w:r>
    </w:p>
    <w:p>
      <w:pPr>
        <w:pStyle w:val="TextBody"/>
        <w:numPr>
          <w:ilvl w:val="0"/>
          <w:numId w:val="8"/>
        </w:numPr>
        <w:tabs>
          <w:tab w:val="left" w:pos="0" w:leader="none"/>
        </w:tabs>
        <w:ind w:left="707" w:hanging="28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Designed IAM Operating Model and governance framework. </w:t>
      </w:r>
    </w:p>
    <w:p>
      <w:pPr>
        <w:pStyle w:val="TextBody"/>
        <w:numPr>
          <w:ilvl w:val="0"/>
          <w:numId w:val="8"/>
        </w:numPr>
        <w:tabs>
          <w:tab w:val="left" w:pos="0" w:leader="none"/>
        </w:tabs>
        <w:ind w:left="707" w:hanging="28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Defined access governance policies and approval workflows. </w:t>
      </w:r>
    </w:p>
    <w:p>
      <w:pPr>
        <w:pStyle w:val="TextBody"/>
        <w:numPr>
          <w:ilvl w:val="0"/>
          <w:numId w:val="8"/>
        </w:numPr>
        <w:tabs>
          <w:tab w:val="left" w:pos="0" w:leader="none"/>
        </w:tabs>
        <w:ind w:left="707" w:hanging="28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Reviewed access request processes and provisioning standards. </w:t>
      </w:r>
    </w:p>
    <w:p>
      <w:pPr>
        <w:pStyle w:val="TextBody"/>
        <w:numPr>
          <w:ilvl w:val="0"/>
          <w:numId w:val="8"/>
        </w:numPr>
        <w:tabs>
          <w:tab w:val="left" w:pos="0" w:leader="none"/>
        </w:tabs>
        <w:ind w:left="707" w:hanging="28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Performed audit readiness assessments for IAM controls. </w:t>
      </w:r>
    </w:p>
    <w:p>
      <w:pPr>
        <w:pStyle w:val="TextBody"/>
        <w:numPr>
          <w:ilvl w:val="0"/>
          <w:numId w:val="8"/>
        </w:numPr>
        <w:tabs>
          <w:tab w:val="left" w:pos="0" w:leader="none"/>
        </w:tabs>
        <w:ind w:left="707" w:hanging="28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Supported compliance initiatives through periodic access reviews and reporting. </w:t>
      </w:r>
    </w:p>
    <w:p>
      <w:pPr>
        <w:pStyle w:val="TextBody"/>
        <w:numPr>
          <w:ilvl w:val="0"/>
          <w:numId w:val="8"/>
        </w:numPr>
        <w:tabs>
          <w:tab w:val="left" w:pos="0" w:leader="none"/>
        </w:tabs>
        <w:spacing w:before="0" w:after="283"/>
        <w:ind w:left="707" w:hanging="283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 xml:space="preserve">Worked with business, security, and infrastructure teams to improve governance and risk management. </w:t>
      </w:r>
    </w:p>
    <w:p>
      <w:pPr>
        <w:pStyle w:val="TextBody"/>
        <w:spacing w:before="0" w:after="283"/>
        <w:rPr/>
      </w:pPr>
      <w:r>
        <w:rPr>
          <w:rStyle w:val="StrongEmphasis"/>
          <w:rFonts w:ascii="Abyssinica SIL" w:hAnsi="Abyssinica SIL"/>
          <w:sz w:val="20"/>
          <w:szCs w:val="20"/>
        </w:rPr>
        <w:t>Environment</w:t>
      </w:r>
      <w:r>
        <w:rPr>
          <w:rFonts w:ascii="Abyssinica SIL" w:hAnsi="Abyssinica SIL"/>
          <w:sz w:val="20"/>
          <w:szCs w:val="20"/>
        </w:rPr>
        <w:br/>
        <w:t>Microsoft Identity Manager, Microsoft Entra ID, Active Directory, Azure PIM, Thycotic Secret Server, RBAC, SoD, PowerShell.</w:t>
      </w:r>
    </w:p>
    <w:p>
      <w:pPr>
        <w:pStyle w:val="Heading1"/>
        <w:spacing w:before="91" w:after="0"/>
        <w:ind w:left="0" w:hanging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color w:val="2D5294"/>
          <w:sz w:val="20"/>
          <w:szCs w:val="20"/>
        </w:rPr>
        <w:br/>
      </w:r>
    </w:p>
    <w:p>
      <w:pPr>
        <w:pStyle w:val="Heading1"/>
        <w:spacing w:before="91" w:after="0"/>
        <w:ind w:left="0" w:hanging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color w:val="2D5294"/>
          <w:sz w:val="20"/>
          <w:szCs w:val="20"/>
        </w:rPr>
        <w:t>Academics:</w:t>
      </w:r>
    </w:p>
    <w:p>
      <w:pPr>
        <w:pStyle w:val="TextBody"/>
        <w:numPr>
          <w:ilvl w:val="0"/>
          <w:numId w:val="1"/>
        </w:numPr>
        <w:spacing w:before="44" w:after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>POST</w:t>
      </w:r>
      <w:r>
        <w:rPr>
          <w:rFonts w:ascii="Abyssinica SIL" w:hAnsi="Abyssinica SIL"/>
          <w:spacing w:val="-3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DIPLOMA</w:t>
      </w:r>
      <w:r>
        <w:rPr>
          <w:rFonts w:ascii="Abyssinica SIL" w:hAnsi="Abyssinica SIL"/>
          <w:spacing w:val="-2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in</w:t>
      </w:r>
      <w:r>
        <w:rPr>
          <w:rFonts w:ascii="Abyssinica SIL" w:hAnsi="Abyssinica SIL"/>
          <w:spacing w:val="-3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Digital</w:t>
      </w:r>
      <w:r>
        <w:rPr>
          <w:rFonts w:ascii="Abyssinica SIL" w:hAnsi="Abyssinica SIL"/>
          <w:spacing w:val="-2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Communication</w:t>
      </w:r>
      <w:r>
        <w:rPr>
          <w:rFonts w:ascii="Abyssinica SIL" w:hAnsi="Abyssinica SIL"/>
          <w:spacing w:val="-2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from</w:t>
      </w:r>
      <w:r>
        <w:rPr>
          <w:rFonts w:ascii="Abyssinica SIL" w:hAnsi="Abyssinica SIL"/>
          <w:spacing w:val="-4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BTE</w:t>
      </w:r>
      <w:r>
        <w:rPr>
          <w:rFonts w:ascii="Abyssinica SIL" w:hAnsi="Abyssinica SIL"/>
          <w:spacing w:val="-2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(board</w:t>
      </w:r>
      <w:r>
        <w:rPr>
          <w:rFonts w:ascii="Abyssinica SIL" w:hAnsi="Abyssinica SIL"/>
          <w:spacing w:val="-4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of</w:t>
      </w:r>
      <w:r>
        <w:rPr>
          <w:rFonts w:ascii="Abyssinica SIL" w:hAnsi="Abyssinica SIL"/>
          <w:spacing w:val="-3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technical</w:t>
      </w:r>
      <w:r>
        <w:rPr>
          <w:rFonts w:ascii="Abyssinica SIL" w:hAnsi="Abyssinica SIL"/>
          <w:spacing w:val="-2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examinations),</w:t>
      </w:r>
      <w:r>
        <w:rPr>
          <w:rFonts w:ascii="Abyssinica SIL" w:hAnsi="Abyssinica SIL"/>
          <w:spacing w:val="-5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LRDE</w:t>
      </w:r>
      <w:r>
        <w:rPr>
          <w:rFonts w:ascii="Abyssinica SIL" w:hAnsi="Abyssinica SIL"/>
          <w:spacing w:val="-3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(DRDO</w:t>
      </w:r>
      <w:r>
        <w:rPr>
          <w:rFonts w:ascii="Abyssinica SIL" w:hAnsi="Abyssinica SIL"/>
          <w:spacing w:val="-63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CAMPUS),</w:t>
      </w:r>
      <w:r>
        <w:rPr>
          <w:rFonts w:ascii="Abyssinica SIL" w:hAnsi="Abyssinica SIL"/>
          <w:spacing w:val="-1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Bangalore.</w:t>
      </w:r>
      <w:r>
        <w:rPr>
          <w:rFonts w:ascii="Abyssinica SIL" w:hAnsi="Abyssinica SIL"/>
          <w:spacing w:val="-2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With</w:t>
      </w:r>
      <w:r>
        <w:rPr>
          <w:rFonts w:ascii="Abyssinica SIL" w:hAnsi="Abyssinica SIL"/>
          <w:spacing w:val="-2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57% (year 2003-2004).</w:t>
      </w:r>
    </w:p>
    <w:p>
      <w:pPr>
        <w:pStyle w:val="TextBody"/>
        <w:spacing w:before="10" w:after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</w:r>
    </w:p>
    <w:p>
      <w:pPr>
        <w:pStyle w:val="TextBody"/>
        <w:numPr>
          <w:ilvl w:val="0"/>
          <w:numId w:val="1"/>
        </w:numPr>
        <w:spacing w:lineRule="auto" w:line="24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>DIPLOMA</w:t>
      </w:r>
      <w:r>
        <w:rPr>
          <w:rFonts w:ascii="Abyssinica SIL" w:hAnsi="Abyssinica SIL"/>
          <w:spacing w:val="-3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in</w:t>
      </w:r>
      <w:r>
        <w:rPr>
          <w:rFonts w:ascii="Abyssinica SIL" w:hAnsi="Abyssinica SIL"/>
          <w:spacing w:val="-3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Electronics</w:t>
      </w:r>
      <w:r>
        <w:rPr>
          <w:rFonts w:ascii="Abyssinica SIL" w:hAnsi="Abyssinica SIL"/>
          <w:spacing w:val="-2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&amp;</w:t>
      </w:r>
      <w:r>
        <w:rPr>
          <w:rFonts w:ascii="Abyssinica SIL" w:hAnsi="Abyssinica SIL"/>
          <w:spacing w:val="-3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Communication</w:t>
      </w:r>
      <w:r>
        <w:rPr>
          <w:rFonts w:ascii="Abyssinica SIL" w:hAnsi="Abyssinica SIL"/>
          <w:spacing w:val="-2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from</w:t>
      </w:r>
      <w:r>
        <w:rPr>
          <w:rFonts w:ascii="Abyssinica SIL" w:hAnsi="Abyssinica SIL"/>
          <w:spacing w:val="-1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BTE</w:t>
      </w:r>
      <w:r>
        <w:rPr>
          <w:rFonts w:ascii="Abyssinica SIL" w:hAnsi="Abyssinica SIL"/>
          <w:spacing w:val="-4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(board</w:t>
      </w:r>
      <w:r>
        <w:rPr>
          <w:rFonts w:ascii="Abyssinica SIL" w:hAnsi="Abyssinica SIL"/>
          <w:spacing w:val="-3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of</w:t>
      </w:r>
      <w:r>
        <w:rPr>
          <w:rFonts w:ascii="Abyssinica SIL" w:hAnsi="Abyssinica SIL"/>
          <w:spacing w:val="-4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technical</w:t>
      </w:r>
      <w:r>
        <w:rPr>
          <w:rFonts w:ascii="Abyssinica SIL" w:hAnsi="Abyssinica SIL"/>
          <w:spacing w:val="-2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examinations),</w:t>
      </w:r>
      <w:r>
        <w:rPr>
          <w:rFonts w:ascii="Abyssinica SIL" w:hAnsi="Abyssinica SIL"/>
          <w:spacing w:val="-2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P.E.S</w:t>
      </w:r>
      <w:r>
        <w:rPr>
          <w:rFonts w:ascii="Abyssinica SIL" w:hAnsi="Abyssinica SIL"/>
          <w:spacing w:val="-64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POLYTECHNIC,</w:t>
      </w:r>
      <w:r>
        <w:rPr>
          <w:rFonts w:ascii="Abyssinica SIL" w:hAnsi="Abyssinica SIL"/>
          <w:spacing w:val="-1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Bangalore.</w:t>
      </w:r>
      <w:r>
        <w:rPr>
          <w:rFonts w:ascii="Abyssinica SIL" w:hAnsi="Abyssinica SIL"/>
          <w:spacing w:val="-2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With</w:t>
      </w:r>
      <w:r>
        <w:rPr>
          <w:rFonts w:ascii="Abyssinica SIL" w:hAnsi="Abyssinica SIL"/>
          <w:spacing w:val="-2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64 %</w:t>
      </w:r>
      <w:r>
        <w:rPr>
          <w:rFonts w:ascii="Abyssinica SIL" w:hAnsi="Abyssinica SIL"/>
          <w:spacing w:val="-2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(year</w:t>
      </w:r>
      <w:r>
        <w:rPr>
          <w:rFonts w:ascii="Abyssinica SIL" w:hAnsi="Abyssinica SIL"/>
          <w:spacing w:val="-3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2000-2003).</w:t>
      </w:r>
    </w:p>
    <w:p>
      <w:pPr>
        <w:pStyle w:val="TextBody"/>
        <w:spacing w:before="10" w:after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</w:r>
    </w:p>
    <w:p>
      <w:pPr>
        <w:pStyle w:val="TextBody"/>
        <w:numPr>
          <w:ilvl w:val="0"/>
          <w:numId w:val="1"/>
        </w:numPr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>10TH</w:t>
      </w:r>
      <w:r>
        <w:rPr>
          <w:rFonts w:ascii="Abyssinica SIL" w:hAnsi="Abyssinica SIL"/>
          <w:spacing w:val="-4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STD</w:t>
      </w:r>
      <w:r>
        <w:rPr>
          <w:rFonts w:ascii="Abyssinica SIL" w:hAnsi="Abyssinica SIL"/>
          <w:spacing w:val="-4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from</w:t>
      </w:r>
      <w:r>
        <w:rPr>
          <w:rFonts w:ascii="Abyssinica SIL" w:hAnsi="Abyssinica SIL"/>
          <w:spacing w:val="-2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CBSE</w:t>
      </w:r>
      <w:r>
        <w:rPr>
          <w:rFonts w:ascii="Abyssinica SIL" w:hAnsi="Abyssinica SIL"/>
          <w:spacing w:val="-5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(Central</w:t>
      </w:r>
      <w:r>
        <w:rPr>
          <w:rFonts w:ascii="Abyssinica SIL" w:hAnsi="Abyssinica SIL"/>
          <w:spacing w:val="-2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board</w:t>
      </w:r>
      <w:r>
        <w:rPr>
          <w:rFonts w:ascii="Abyssinica SIL" w:hAnsi="Abyssinica SIL"/>
          <w:spacing w:val="-5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of</w:t>
      </w:r>
      <w:r>
        <w:rPr>
          <w:rFonts w:ascii="Abyssinica SIL" w:hAnsi="Abyssinica SIL"/>
          <w:spacing w:val="-3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secondary</w:t>
      </w:r>
      <w:r>
        <w:rPr>
          <w:rFonts w:ascii="Abyssinica SIL" w:hAnsi="Abyssinica SIL"/>
          <w:spacing w:val="-3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education),</w:t>
      </w:r>
      <w:r>
        <w:rPr>
          <w:rFonts w:ascii="Abyssinica SIL" w:hAnsi="Abyssinica SIL"/>
          <w:spacing w:val="-5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KENDRIYA</w:t>
      </w:r>
      <w:r>
        <w:rPr>
          <w:rFonts w:ascii="Abyssinica SIL" w:hAnsi="Abyssinica SIL"/>
          <w:spacing w:val="-3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VIDYALAYA</w:t>
      </w:r>
      <w:r>
        <w:rPr>
          <w:rFonts w:ascii="Abyssinica SIL" w:hAnsi="Abyssinica SIL"/>
          <w:spacing w:val="-3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HEBBAL,</w:t>
      </w:r>
      <w:r>
        <w:rPr>
          <w:rFonts w:ascii="Abyssinica SIL" w:hAnsi="Abyssinica SIL"/>
          <w:spacing w:val="-64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Bangalore.</w:t>
      </w:r>
      <w:r>
        <w:rPr>
          <w:rFonts w:ascii="Abyssinica SIL" w:hAnsi="Abyssinica SIL"/>
          <w:spacing w:val="-3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With</w:t>
      </w:r>
      <w:r>
        <w:rPr>
          <w:rFonts w:ascii="Abyssinica SIL" w:hAnsi="Abyssinica SIL"/>
          <w:spacing w:val="-2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52</w:t>
      </w:r>
      <w:r>
        <w:rPr>
          <w:rFonts w:ascii="Abyssinica SIL" w:hAnsi="Abyssinica SIL"/>
          <w:spacing w:val="-2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%(year</w:t>
      </w:r>
      <w:r>
        <w:rPr>
          <w:rFonts w:ascii="Abyssinica SIL" w:hAnsi="Abyssinica SIL"/>
          <w:spacing w:val="2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1999-2000).</w:t>
      </w:r>
    </w:p>
    <w:p>
      <w:pPr>
        <w:pStyle w:val="TextBody"/>
        <w:spacing w:before="5" w:after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</w:r>
    </w:p>
    <w:p>
      <w:pPr>
        <w:pStyle w:val="TextBody"/>
        <w:numPr>
          <w:ilvl w:val="0"/>
          <w:numId w:val="1"/>
        </w:numPr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>B.E</w:t>
      </w:r>
      <w:r>
        <w:rPr>
          <w:rFonts w:ascii="Abyssinica SIL" w:hAnsi="Abyssinica SIL"/>
          <w:spacing w:val="-1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in</w:t>
      </w:r>
      <w:r>
        <w:rPr>
          <w:rFonts w:ascii="Abyssinica SIL" w:hAnsi="Abyssinica SIL"/>
          <w:spacing w:val="-4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Electronics</w:t>
      </w:r>
      <w:r>
        <w:rPr>
          <w:rFonts w:ascii="Abyssinica SIL" w:hAnsi="Abyssinica SIL"/>
          <w:spacing w:val="-2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and</w:t>
      </w:r>
      <w:r>
        <w:rPr>
          <w:rFonts w:ascii="Abyssinica SIL" w:hAnsi="Abyssinica SIL"/>
          <w:spacing w:val="-4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communication</w:t>
      </w:r>
      <w:r>
        <w:rPr>
          <w:rFonts w:ascii="Abyssinica SIL" w:hAnsi="Abyssinica SIL"/>
          <w:spacing w:val="-3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from Sir</w:t>
      </w:r>
      <w:r>
        <w:rPr>
          <w:rFonts w:ascii="Abyssinica SIL" w:hAnsi="Abyssinica SIL"/>
          <w:spacing w:val="-2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MVIT,</w:t>
      </w:r>
      <w:r>
        <w:rPr>
          <w:rFonts w:ascii="Abyssinica SIL" w:hAnsi="Abyssinica SIL"/>
          <w:spacing w:val="-1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Bangalore.</w:t>
      </w:r>
      <w:r>
        <w:rPr>
          <w:rFonts w:ascii="Abyssinica SIL" w:hAnsi="Abyssinica SIL"/>
          <w:spacing w:val="-2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(Year</w:t>
      </w:r>
      <w:r>
        <w:rPr>
          <w:rFonts w:ascii="Abyssinica SIL" w:hAnsi="Abyssinica SIL"/>
          <w:spacing w:val="-2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2004-2008)</w:t>
      </w:r>
      <w:r>
        <w:rPr>
          <w:rFonts w:ascii="Abyssinica SIL" w:hAnsi="Abyssinica SIL"/>
          <w:spacing w:val="-2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(Discontinued)</w:t>
      </w:r>
    </w:p>
    <w:p>
      <w:pPr>
        <w:pStyle w:val="TextBody"/>
        <w:spacing w:before="9" w:after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</w:r>
    </w:p>
    <w:p>
      <w:pPr>
        <w:pStyle w:val="Heading1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color w:val="2D5294"/>
          <w:sz w:val="20"/>
          <w:szCs w:val="20"/>
        </w:rPr>
        <w:t>Personal</w:t>
      </w:r>
      <w:r>
        <w:rPr>
          <w:rFonts w:ascii="Abyssinica SIL" w:hAnsi="Abyssinica SIL"/>
          <w:color w:val="2D5294"/>
          <w:spacing w:val="-3"/>
          <w:sz w:val="20"/>
          <w:szCs w:val="20"/>
        </w:rPr>
        <w:t xml:space="preserve"> </w:t>
      </w:r>
      <w:r>
        <w:rPr>
          <w:rFonts w:ascii="Abyssinica SIL" w:hAnsi="Abyssinica SIL"/>
          <w:color w:val="2D5294"/>
          <w:sz w:val="20"/>
          <w:szCs w:val="20"/>
        </w:rPr>
        <w:t>Details:</w:t>
      </w:r>
    </w:p>
    <w:p>
      <w:pPr>
        <w:pStyle w:val="Heading1"/>
        <w:rPr>
          <w:rFonts w:ascii="Abyssinica SIL" w:hAnsi="Abyssinica SIL"/>
          <w:color w:val="2D5294"/>
          <w:sz w:val="20"/>
          <w:szCs w:val="20"/>
        </w:rPr>
      </w:pPr>
      <w:r>
        <w:rPr>
          <w:rFonts w:ascii="Abyssinica SIL" w:hAnsi="Abyssinica SIL"/>
          <w:color w:val="2D5294"/>
          <w:sz w:val="20"/>
          <w:szCs w:val="20"/>
        </w:rPr>
      </w:r>
    </w:p>
    <w:p>
      <w:pPr>
        <w:pStyle w:val="TextBody"/>
        <w:tabs>
          <w:tab w:val="left" w:pos="3840" w:leader="none"/>
        </w:tabs>
        <w:ind w:left="240" w:hanging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>Date</w:t>
      </w:r>
      <w:r>
        <w:rPr>
          <w:rFonts w:ascii="Abyssinica SIL" w:hAnsi="Abyssinica SIL"/>
          <w:spacing w:val="-4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of</w:t>
      </w:r>
      <w:r>
        <w:rPr>
          <w:rFonts w:ascii="Abyssinica SIL" w:hAnsi="Abyssinica SIL"/>
          <w:spacing w:val="1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Birth:</w:t>
        <w:tab/>
        <w:t>10th</w:t>
      </w:r>
      <w:r>
        <w:rPr>
          <w:rFonts w:ascii="Abyssinica SIL" w:hAnsi="Abyssinica SIL"/>
          <w:spacing w:val="-3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September</w:t>
      </w:r>
      <w:r>
        <w:rPr>
          <w:rFonts w:ascii="Abyssinica SIL" w:hAnsi="Abyssinica SIL"/>
          <w:spacing w:val="-2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1985</w:t>
      </w:r>
    </w:p>
    <w:p>
      <w:pPr>
        <w:pStyle w:val="TextBody"/>
        <w:tabs>
          <w:tab w:val="left" w:pos="3840" w:leader="none"/>
        </w:tabs>
        <w:spacing w:before="38" w:after="0"/>
        <w:ind w:left="240" w:hanging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>Father’s</w:t>
      </w:r>
      <w:r>
        <w:rPr>
          <w:rFonts w:ascii="Abyssinica SIL" w:hAnsi="Abyssinica SIL"/>
          <w:spacing w:val="-1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Name:</w:t>
        <w:tab/>
        <w:t>K.</w:t>
      </w:r>
      <w:r>
        <w:rPr>
          <w:rFonts w:ascii="Abyssinica SIL" w:hAnsi="Abyssinica SIL"/>
          <w:spacing w:val="-2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VENKATARAMANA</w:t>
      </w:r>
    </w:p>
    <w:p>
      <w:pPr>
        <w:pStyle w:val="TextBody"/>
        <w:tabs>
          <w:tab w:val="left" w:pos="3840" w:leader="none"/>
        </w:tabs>
        <w:spacing w:before="39" w:after="0"/>
        <w:ind w:left="240" w:hanging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>Languages</w:t>
      </w:r>
      <w:r>
        <w:rPr>
          <w:rFonts w:ascii="Abyssinica SIL" w:hAnsi="Abyssinica SIL"/>
          <w:spacing w:val="-5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Known:</w:t>
        <w:tab/>
        <w:t>English,</w:t>
      </w:r>
      <w:r>
        <w:rPr>
          <w:rFonts w:ascii="Abyssinica SIL" w:hAnsi="Abyssinica SIL"/>
          <w:spacing w:val="-2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Hindi,</w:t>
      </w:r>
      <w:r>
        <w:rPr>
          <w:rFonts w:ascii="Abyssinica SIL" w:hAnsi="Abyssinica SIL"/>
          <w:spacing w:val="-2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Telugu</w:t>
      </w:r>
      <w:r>
        <w:rPr>
          <w:rFonts w:ascii="Abyssinica SIL" w:hAnsi="Abyssinica SIL"/>
          <w:spacing w:val="-4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and</w:t>
      </w:r>
      <w:r>
        <w:rPr>
          <w:rFonts w:ascii="Abyssinica SIL" w:hAnsi="Abyssinica SIL"/>
          <w:spacing w:val="-4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Kannada.</w:t>
      </w:r>
    </w:p>
    <w:p>
      <w:pPr>
        <w:pStyle w:val="TextBody"/>
        <w:tabs>
          <w:tab w:val="left" w:pos="3840" w:leader="none"/>
        </w:tabs>
        <w:spacing w:before="41" w:after="0"/>
        <w:ind w:left="240" w:hanging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>Nationality:</w:t>
        <w:tab/>
        <w:t>INDIAN</w:t>
      </w:r>
    </w:p>
    <w:p>
      <w:pPr>
        <w:pStyle w:val="TextBody"/>
        <w:tabs>
          <w:tab w:val="left" w:pos="3840" w:leader="none"/>
        </w:tabs>
        <w:spacing w:before="38" w:after="0"/>
        <w:ind w:left="240" w:hanging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>Marital</w:t>
      </w:r>
      <w:r>
        <w:rPr>
          <w:rFonts w:ascii="Abyssinica SIL" w:hAnsi="Abyssinica SIL"/>
          <w:spacing w:val="-3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w:t>Status:</w:t>
        <w:tab/>
        <w:t>Married</w:t>
      </w:r>
    </w:p>
    <w:p>
      <w:pPr>
        <w:pStyle w:val="TextBody"/>
        <w:tabs>
          <w:tab w:val="left" w:pos="3840" w:leader="none"/>
        </w:tabs>
        <w:spacing w:before="41" w:after="0"/>
        <w:ind w:left="240" w:hanging="0"/>
        <w:rPr>
          <w:rFonts w:ascii="Abyssinica SIL" w:hAnsi="Abyssinica SIL"/>
          <w:sz w:val="20"/>
          <w:szCs w:val="20"/>
        </w:rPr>
      </w:pPr>
      <w:r>
        <w:rPr>
          <w:rFonts w:ascii="Abyssinica SIL" w:hAnsi="Abyssinica SIL"/>
          <w:sz w:val="20"/>
          <w:szCs w:val="20"/>
        </w:rPr>
        <w:t>Passport</w:t>
      </w:r>
      <w:r>
        <w:rPr>
          <w:rFonts w:ascii="Abyssinica SIL" w:hAnsi="Abyssinica SIL"/>
          <w:spacing w:val="-4"/>
          <w:sz w:val="20"/>
          <w:szCs w:val="20"/>
        </w:rPr>
        <w:t xml:space="preserve"> </w:t>
      </w:r>
      <w:r>
        <w:rPr>
          <w:rFonts w:ascii="Abyssinica SIL" w:hAnsi="Abyssinica SIL"/>
          <w:sz w:val="20"/>
          <w:szCs w:val="20"/>
        </w:rPr>
        <mc:AlternateContent>
          <mc:Choice Requires="wps">
            <w:drawing>
              <wp:anchor behindDoc="0" distT="0" distB="0" distL="114300" distR="114300" simplePos="0" locked="0" layoutInCell="1" allowOverlap="1" relativeHeight="8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3335" cy="13335"/>
                <wp:effectExtent l="0" t="0" r="0" b="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style="position:absolute;margin-left:0.05pt;margin-top:0pt;width:0.95pt;height:0.95pt" type="shapetype_75">
                <w10:wrap type="none"/>
                <v:fill o:detectmouseclick="t" on="false"/>
                <v:stroke color="#3465a4" joinstyle="round" endcap="flat"/>
              </v:shape>
            </w:pict>
          </mc:Fallback>
        </mc:AlternateContent>
      </w:r>
      <w:r>
        <w:rPr>
          <w:rFonts w:ascii="Abyssinica SIL" w:hAnsi="Abyssinica SIL"/>
          <w:sz w:val="20"/>
          <w:szCs w:val="20"/>
        </w:rPr>
        <w:t>Number:</w:t>
        <w:tab/>
        <w:t>Z6206728</w:t>
      </w:r>
    </w:p>
    <w:sectPr>
      <w:footerReference w:type="default" r:id="rId3"/>
      <w:type w:val="nextPage"/>
      <w:pgSz w:w="12240" w:h="15840"/>
      <w:pgMar w:left="480" w:right="460" w:header="0" w:top="1280" w:footer="348" w:bottom="62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Verdana">
    <w:charset w:val="01"/>
    <w:family w:val="roman"/>
    <w:pitch w:val="variable"/>
  </w:font>
  <w:font w:name="Abyssinica SIL">
    <w:charset w:val="01"/>
    <w:family w:val="auto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16"/>
      </w:rPr>
    </w:pPr>
    <w:r>
      <w:rPr>
        <w:sz w:val="16"/>
      </w:rPr>
    </w:r>
    <w:r>
      <mc:AlternateContent>
        <mc:Choice Requires="wps">
          <w:drawing>
            <wp:anchor behindDoc="1" distT="0" distB="0" distL="114300" distR="114300" simplePos="0" locked="0" layoutInCell="1" allowOverlap="1" relativeHeight="5">
              <wp:simplePos x="0" y="0"/>
              <wp:positionH relativeFrom="page">
                <wp:posOffset>419100</wp:posOffset>
              </wp:positionH>
              <wp:positionV relativeFrom="page">
                <wp:posOffset>9646920</wp:posOffset>
              </wp:positionV>
              <wp:extent cx="688340" cy="177800"/>
              <wp:effectExtent l="0" t="0" r="0" b="0"/>
              <wp:wrapNone/>
              <wp:docPr id="4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8340" cy="177800"/>
                      </a:xfrm>
                      <a:prstGeom prst="rect"/>
                    </wps:spPr>
                    <wps:txbx>
                      <w:txbxContent>
                        <w:p>
                          <w:pPr>
                            <w:pStyle w:val="FrameContents"/>
                            <w:spacing w:before="19" w:after="0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rFonts w:ascii="Cambria" w:hAnsi="Cambria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z w:val="20"/>
                            </w:rPr>
                            <w:t>P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z w:val="20"/>
                            </w:rPr>
                            <w:t>a g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z w:val="20"/>
                            </w:rPr>
                            <w:t>e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0;width:54.2pt;height:14pt;mso-wrap-distance-left:9pt;mso-wrap-distance-right:9pt;mso-wrap-distance-top:0pt;mso-wrap-distance-bottom:0pt;margin-top:759.6pt;mso-position-vertical-relative:page;margin-left:33pt;mso-position-horizontal-relative:page">
              <v:textbox inset="0in,0in,0in,0in">
                <w:txbxContent>
                  <w:p>
                    <w:pPr>
                      <w:pStyle w:val="FrameContents"/>
                      <w:spacing w:before="19" w:after="0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  <w:r>
                      <w:rPr>
                        <w:rFonts w:ascii="Cambria" w:hAnsi="Cambria"/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|</w:t>
                    </w:r>
                    <w:r>
                      <w:rPr>
                        <w:rFonts w:ascii="Calibri" w:hAnsi="Calibri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z w:val="20"/>
                      </w:rPr>
                      <w:t>P</w:t>
                    </w:r>
                    <w:r>
                      <w:rPr>
                        <w:rFonts w:ascii="Calibri" w:hAnsi="Calibri"/>
                        <w:color w:val="808080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z w:val="20"/>
                      </w:rPr>
                      <w:t>a g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z w:val="20"/>
                      </w:rPr>
                      <w:t>e</w:t>
                    </w:r>
                  </w:p>
                </w:txbxContent>
              </v:textbox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ind w:left="95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679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39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11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839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55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27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999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719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4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73465"/>
    <w:pPr>
      <w:widowControl/>
      <w:bidi w:val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link w:val="Heading1Char"/>
    <w:uiPriority w:val="9"/>
    <w:qFormat/>
    <w:pPr>
      <w:ind w:left="240" w:hanging="0"/>
      <w:outlineLvl w:val="0"/>
    </w:pPr>
    <w:rPr>
      <w:sz w:val="26"/>
      <w:szCs w:val="2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a4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365F91" w:themeColor="accent1" w:themeShade="bf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Internet Link"/>
    <w:basedOn w:val="DefaultParagraphFont"/>
    <w:uiPriority w:val="99"/>
    <w:unhideWhenUsed/>
    <w:rsid w:val="003a6a41"/>
    <w:rPr>
      <w:color w:val="0000FF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3a6a41"/>
    <w:rPr>
      <w:color w:val="605E5C"/>
      <w:shd w:fill="E1DFDD" w:val="clear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a6a41"/>
    <w:rPr>
      <w:rFonts w:ascii="Arial MT" w:hAnsi="Arial MT" w:eastAsia="" w:cs="" w:cstheme="majorBidi" w:eastAsiaTheme="majorEastAsia"/>
      <w:i/>
      <w:iCs/>
      <w:color w:val="365F91" w:themeColor="accent1" w:themeShade="bf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546f22"/>
    <w:rPr>
      <w:rFonts w:ascii="Arial MT" w:hAnsi="Arial MT" w:eastAsia="Arial MT" w:cs="Arial MT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546f22"/>
    <w:rPr>
      <w:rFonts w:ascii="Arial MT" w:hAnsi="Arial MT" w:eastAsia="Arial MT" w:cs="Arial MT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7f7810"/>
    <w:rPr>
      <w:rFonts w:ascii="Arial MT" w:hAnsi="Arial MT" w:eastAsia="Arial MT" w:cs="Arial MT"/>
      <w:sz w:val="26"/>
      <w:szCs w:val="26"/>
    </w:rPr>
  </w:style>
  <w:style w:type="character" w:styleId="BodyTextChar" w:customStyle="1">
    <w:name w:val="Body Text Char"/>
    <w:basedOn w:val="DefaultParagraphFont"/>
    <w:link w:val="BodyText"/>
    <w:uiPriority w:val="1"/>
    <w:qFormat/>
    <w:rsid w:val="007f7810"/>
    <w:rPr>
      <w:rFonts w:ascii="Arial MT" w:hAnsi="Arial MT" w:eastAsia="Arial MT" w:cs="Arial MT"/>
      <w:sz w:val="24"/>
      <w:szCs w:val="24"/>
    </w:rPr>
  </w:style>
  <w:style w:type="character" w:styleId="ListLabel1">
    <w:name w:val="ListLabel 1"/>
    <w:qFormat/>
    <w:rPr>
      <w:rFonts w:eastAsia="Arial MT" w:cs="Arial MT"/>
      <w:w w:val="100"/>
      <w:sz w:val="24"/>
      <w:szCs w:val="24"/>
      <w:lang w:val="en-US" w:eastAsia="en-US" w:bidi="ar-SA"/>
    </w:rPr>
  </w:style>
  <w:style w:type="character" w:styleId="ListLabel2">
    <w:name w:val="ListLabel 2"/>
    <w:qFormat/>
    <w:rPr>
      <w:lang w:val="en-US" w:eastAsia="en-US" w:bidi="ar-SA"/>
    </w:rPr>
  </w:style>
  <w:style w:type="character" w:styleId="ListLabel3">
    <w:name w:val="ListLabel 3"/>
    <w:qFormat/>
    <w:rPr>
      <w:lang w:val="en-US" w:eastAsia="en-US" w:bidi="ar-SA"/>
    </w:rPr>
  </w:style>
  <w:style w:type="character" w:styleId="ListLabel4">
    <w:name w:val="ListLabel 4"/>
    <w:qFormat/>
    <w:rPr>
      <w:lang w:val="en-US" w:eastAsia="en-US" w:bidi="ar-SA"/>
    </w:rPr>
  </w:style>
  <w:style w:type="character" w:styleId="ListLabel5">
    <w:name w:val="ListLabel 5"/>
    <w:qFormat/>
    <w:rPr>
      <w:lang w:val="en-US" w:eastAsia="en-US" w:bidi="ar-SA"/>
    </w:rPr>
  </w:style>
  <w:style w:type="character" w:styleId="ListLabel6">
    <w:name w:val="ListLabel 6"/>
    <w:qFormat/>
    <w:rPr>
      <w:lang w:val="en-US" w:eastAsia="en-US" w:bidi="ar-SA"/>
    </w:rPr>
  </w:style>
  <w:style w:type="character" w:styleId="ListLabel7">
    <w:name w:val="ListLabel 7"/>
    <w:qFormat/>
    <w:rPr>
      <w:lang w:val="en-US" w:eastAsia="en-US" w:bidi="ar-SA"/>
    </w:rPr>
  </w:style>
  <w:style w:type="character" w:styleId="ListLabel8">
    <w:name w:val="ListLabel 8"/>
    <w:qFormat/>
    <w:rPr>
      <w:lang w:val="en-US" w:eastAsia="en-US" w:bidi="ar-SA"/>
    </w:rPr>
  </w:style>
  <w:style w:type="character" w:styleId="ListLabel9">
    <w:name w:val="ListLabel 9"/>
    <w:qFormat/>
    <w:rPr>
      <w:lang w:val="en-US" w:eastAsia="en-US" w:bidi="ar-SA"/>
    </w:rPr>
  </w:style>
  <w:style w:type="character" w:styleId="ListLabel10">
    <w:name w:val="ListLabel 10"/>
    <w:qFormat/>
    <w:rPr>
      <w:w w:val="100"/>
      <w:lang w:val="en-US" w:eastAsia="en-US" w:bidi="ar-SA"/>
    </w:rPr>
  </w:style>
  <w:style w:type="character" w:styleId="ListLabel11">
    <w:name w:val="ListLabel 11"/>
    <w:qFormat/>
    <w:rPr>
      <w:lang w:val="en-US" w:eastAsia="en-US" w:bidi="ar-SA"/>
    </w:rPr>
  </w:style>
  <w:style w:type="character" w:styleId="ListLabel12">
    <w:name w:val="ListLabel 12"/>
    <w:qFormat/>
    <w:rPr>
      <w:lang w:val="en-US" w:eastAsia="en-US" w:bidi="ar-SA"/>
    </w:rPr>
  </w:style>
  <w:style w:type="character" w:styleId="ListLabel13">
    <w:name w:val="ListLabel 13"/>
    <w:qFormat/>
    <w:rPr>
      <w:lang w:val="en-US" w:eastAsia="en-US" w:bidi="ar-SA"/>
    </w:rPr>
  </w:style>
  <w:style w:type="character" w:styleId="ListLabel14">
    <w:name w:val="ListLabel 14"/>
    <w:qFormat/>
    <w:rPr>
      <w:lang w:val="en-US" w:eastAsia="en-US" w:bidi="ar-SA"/>
    </w:rPr>
  </w:style>
  <w:style w:type="character" w:styleId="ListLabel15">
    <w:name w:val="ListLabel 15"/>
    <w:qFormat/>
    <w:rPr>
      <w:lang w:val="en-US" w:eastAsia="en-US" w:bidi="ar-SA"/>
    </w:rPr>
  </w:style>
  <w:style w:type="character" w:styleId="ListLabel16">
    <w:name w:val="ListLabel 16"/>
    <w:qFormat/>
    <w:rPr>
      <w:lang w:val="en-US" w:eastAsia="en-US" w:bidi="ar-SA"/>
    </w:rPr>
  </w:style>
  <w:style w:type="character" w:styleId="ListLabel17">
    <w:name w:val="ListLabel 17"/>
    <w:qFormat/>
    <w:rPr>
      <w:lang w:val="en-US" w:eastAsia="en-US" w:bidi="ar-SA"/>
    </w:rPr>
  </w:style>
  <w:style w:type="character" w:styleId="ListLabel18">
    <w:name w:val="ListLabel 18"/>
    <w:qFormat/>
    <w:rPr>
      <w:lang w:val="en-US" w:eastAsia="en-US" w:bidi="ar-SA"/>
    </w:rPr>
  </w:style>
  <w:style w:type="character" w:styleId="ListLabel19">
    <w:name w:val="ListLabel 19"/>
    <w:qFormat/>
    <w:rPr>
      <w:rFonts w:eastAsia="Symbol" w:cs="Symbol"/>
      <w:w w:val="100"/>
      <w:sz w:val="24"/>
      <w:szCs w:val="24"/>
      <w:lang w:val="en-US" w:eastAsia="en-US" w:bidi="ar-SA"/>
    </w:rPr>
  </w:style>
  <w:style w:type="character" w:styleId="ListLabel20">
    <w:name w:val="ListLabel 20"/>
    <w:qFormat/>
    <w:rPr>
      <w:lang w:val="en-US" w:eastAsia="en-US" w:bidi="ar-SA"/>
    </w:rPr>
  </w:style>
  <w:style w:type="character" w:styleId="ListLabel21">
    <w:name w:val="ListLabel 21"/>
    <w:qFormat/>
    <w:rPr>
      <w:lang w:val="en-US" w:eastAsia="en-US" w:bidi="ar-SA"/>
    </w:rPr>
  </w:style>
  <w:style w:type="character" w:styleId="ListLabel22">
    <w:name w:val="ListLabel 22"/>
    <w:qFormat/>
    <w:rPr>
      <w:lang w:val="en-US" w:eastAsia="en-US" w:bidi="ar-SA"/>
    </w:rPr>
  </w:style>
  <w:style w:type="character" w:styleId="ListLabel23">
    <w:name w:val="ListLabel 23"/>
    <w:qFormat/>
    <w:rPr>
      <w:lang w:val="en-US" w:eastAsia="en-US" w:bidi="ar-SA"/>
    </w:rPr>
  </w:style>
  <w:style w:type="character" w:styleId="ListLabel24">
    <w:name w:val="ListLabel 24"/>
    <w:qFormat/>
    <w:rPr>
      <w:lang w:val="en-US" w:eastAsia="en-US" w:bidi="ar-SA"/>
    </w:rPr>
  </w:style>
  <w:style w:type="character" w:styleId="ListLabel25">
    <w:name w:val="ListLabel 25"/>
    <w:qFormat/>
    <w:rPr>
      <w:lang w:val="en-US" w:eastAsia="en-US" w:bidi="ar-SA"/>
    </w:rPr>
  </w:style>
  <w:style w:type="character" w:styleId="ListLabel26">
    <w:name w:val="ListLabel 26"/>
    <w:qFormat/>
    <w:rPr>
      <w:lang w:val="en-US" w:eastAsia="en-US" w:bidi="ar-SA"/>
    </w:rPr>
  </w:style>
  <w:style w:type="character" w:styleId="ListLabel27">
    <w:name w:val="ListLabel 27"/>
    <w:qFormat/>
    <w:rPr>
      <w:lang w:val="en-US" w:eastAsia="en-US" w:bidi="ar-SA"/>
    </w:rPr>
  </w:style>
  <w:style w:type="character" w:styleId="ListLabel28">
    <w:name w:val="ListLabel 28"/>
    <w:qFormat/>
    <w:rPr>
      <w:w w:val="100"/>
      <w:lang w:val="en-US" w:eastAsia="en-US" w:bidi="ar-SA"/>
    </w:rPr>
  </w:style>
  <w:style w:type="character" w:styleId="ListLabel29">
    <w:name w:val="ListLabel 29"/>
    <w:qFormat/>
    <w:rPr>
      <w:lang w:val="en-US" w:eastAsia="en-US" w:bidi="ar-SA"/>
    </w:rPr>
  </w:style>
  <w:style w:type="character" w:styleId="ListLabel30">
    <w:name w:val="ListLabel 30"/>
    <w:qFormat/>
    <w:rPr>
      <w:lang w:val="en-US" w:eastAsia="en-US" w:bidi="ar-SA"/>
    </w:rPr>
  </w:style>
  <w:style w:type="character" w:styleId="ListLabel31">
    <w:name w:val="ListLabel 31"/>
    <w:qFormat/>
    <w:rPr>
      <w:lang w:val="en-US" w:eastAsia="en-US" w:bidi="ar-SA"/>
    </w:rPr>
  </w:style>
  <w:style w:type="character" w:styleId="ListLabel32">
    <w:name w:val="ListLabel 32"/>
    <w:qFormat/>
    <w:rPr>
      <w:lang w:val="en-US" w:eastAsia="en-US" w:bidi="ar-SA"/>
    </w:rPr>
  </w:style>
  <w:style w:type="character" w:styleId="ListLabel33">
    <w:name w:val="ListLabel 33"/>
    <w:qFormat/>
    <w:rPr>
      <w:lang w:val="en-US" w:eastAsia="en-US" w:bidi="ar-SA"/>
    </w:rPr>
  </w:style>
  <w:style w:type="character" w:styleId="ListLabel34">
    <w:name w:val="ListLabel 34"/>
    <w:qFormat/>
    <w:rPr>
      <w:lang w:val="en-US" w:eastAsia="en-US" w:bidi="ar-SA"/>
    </w:rPr>
  </w:style>
  <w:style w:type="character" w:styleId="ListLabel35">
    <w:name w:val="ListLabel 35"/>
    <w:qFormat/>
    <w:rPr>
      <w:lang w:val="en-US" w:eastAsia="en-US" w:bidi="ar-SA"/>
    </w:rPr>
  </w:style>
  <w:style w:type="character" w:styleId="ListLabel36">
    <w:name w:val="ListLabel 36"/>
    <w:qFormat/>
    <w:rPr>
      <w:lang w:val="en-US" w:eastAsia="en-US" w:bidi="ar-SA"/>
    </w:rPr>
  </w:style>
  <w:style w:type="character" w:styleId="ListLabel37">
    <w:name w:val="ListLabel 37"/>
    <w:qFormat/>
    <w:rPr>
      <w:rFonts w:eastAsia="Arial" w:cs="Arial"/>
      <w:b/>
      <w:bCs/>
      <w:spacing w:val="-1"/>
      <w:w w:val="100"/>
      <w:sz w:val="22"/>
      <w:szCs w:val="22"/>
      <w:lang w:val="en-US" w:eastAsia="en-US" w:bidi="ar-SA"/>
    </w:rPr>
  </w:style>
  <w:style w:type="character" w:styleId="ListLabel38">
    <w:name w:val="ListLabel 38"/>
    <w:qFormat/>
    <w:rPr>
      <w:lang w:val="en-US" w:eastAsia="en-US" w:bidi="ar-SA"/>
    </w:rPr>
  </w:style>
  <w:style w:type="character" w:styleId="ListLabel39">
    <w:name w:val="ListLabel 39"/>
    <w:qFormat/>
    <w:rPr>
      <w:lang w:val="en-US" w:eastAsia="en-US" w:bidi="ar-SA"/>
    </w:rPr>
  </w:style>
  <w:style w:type="character" w:styleId="ListLabel40">
    <w:name w:val="ListLabel 40"/>
    <w:qFormat/>
    <w:rPr>
      <w:lang w:val="en-US" w:eastAsia="en-US" w:bidi="ar-SA"/>
    </w:rPr>
  </w:style>
  <w:style w:type="character" w:styleId="ListLabel41">
    <w:name w:val="ListLabel 41"/>
    <w:qFormat/>
    <w:rPr>
      <w:lang w:val="en-US" w:eastAsia="en-US" w:bidi="ar-SA"/>
    </w:rPr>
  </w:style>
  <w:style w:type="character" w:styleId="ListLabel42">
    <w:name w:val="ListLabel 42"/>
    <w:qFormat/>
    <w:rPr>
      <w:lang w:val="en-US" w:eastAsia="en-US" w:bidi="ar-SA"/>
    </w:rPr>
  </w:style>
  <w:style w:type="character" w:styleId="ListLabel43">
    <w:name w:val="ListLabel 43"/>
    <w:qFormat/>
    <w:rPr>
      <w:lang w:val="en-US" w:eastAsia="en-US" w:bidi="ar-SA"/>
    </w:rPr>
  </w:style>
  <w:style w:type="character" w:styleId="ListLabel44">
    <w:name w:val="ListLabel 44"/>
    <w:qFormat/>
    <w:rPr>
      <w:lang w:val="en-US" w:eastAsia="en-US" w:bidi="ar-SA"/>
    </w:rPr>
  </w:style>
  <w:style w:type="character" w:styleId="ListLabel45">
    <w:name w:val="ListLabel 45"/>
    <w:qFormat/>
    <w:rPr>
      <w:lang w:val="en-US" w:eastAsia="en-US" w:bidi="ar-SA"/>
    </w:rPr>
  </w:style>
  <w:style w:type="character" w:styleId="ListLabel46">
    <w:name w:val="ListLabel 46"/>
    <w:qFormat/>
    <w:rPr>
      <w:rFonts w:cs="Courier New"/>
    </w:rPr>
  </w:style>
  <w:style w:type="character" w:styleId="ListLabel47">
    <w:name w:val="ListLabel 47"/>
    <w:qFormat/>
    <w:rPr>
      <w:rFonts w:cs="Courier New"/>
    </w:rPr>
  </w:style>
  <w:style w:type="character" w:styleId="ListLabel48">
    <w:name w:val="ListLabel 48"/>
    <w:qFormat/>
    <w:rPr>
      <w:rFonts w:cs="Courier New"/>
    </w:rPr>
  </w:style>
  <w:style w:type="character" w:styleId="ListLabel49">
    <w:name w:val="ListLabel 49"/>
    <w:qFormat/>
    <w:rPr>
      <w:rFonts w:cs="Courier New"/>
    </w:rPr>
  </w:style>
  <w:style w:type="character" w:styleId="ListLabel50">
    <w:name w:val="ListLabel 50"/>
    <w:qFormat/>
    <w:rPr>
      <w:rFonts w:cs="Courier New"/>
    </w:rPr>
  </w:style>
  <w:style w:type="character" w:styleId="ListLabel51">
    <w:name w:val="ListLabel 51"/>
    <w:qFormat/>
    <w:rPr>
      <w:rFonts w:cs="Courier New"/>
    </w:rPr>
  </w:style>
  <w:style w:type="character" w:styleId="ListLabel52">
    <w:name w:val="ListLabel 52"/>
    <w:qFormat/>
    <w:rPr>
      <w:rFonts w:cs="Courier New"/>
    </w:rPr>
  </w:style>
  <w:style w:type="character" w:styleId="ListLabel53">
    <w:name w:val="ListLabel 53"/>
    <w:qFormat/>
    <w:rPr>
      <w:rFonts w:cs="Courier New"/>
    </w:rPr>
  </w:style>
  <w:style w:type="character" w:styleId="ListLabel54">
    <w:name w:val="ListLabel 54"/>
    <w:qFormat/>
    <w:rPr>
      <w:rFonts w:cs="Courier New"/>
    </w:rPr>
  </w:style>
  <w:style w:type="character" w:styleId="ListLabel55">
    <w:name w:val="ListLabel 55"/>
    <w:qFormat/>
    <w:rPr>
      <w:rFonts w:cs="Courier New"/>
    </w:rPr>
  </w:style>
  <w:style w:type="character" w:styleId="ListLabel56">
    <w:name w:val="ListLabel 56"/>
    <w:qFormat/>
    <w:rPr>
      <w:rFonts w:cs="Courier New"/>
    </w:rPr>
  </w:style>
  <w:style w:type="character" w:styleId="ListLabel57">
    <w:name w:val="ListLabel 57"/>
    <w:qFormat/>
    <w:rPr>
      <w:rFonts w:cs="Courier New"/>
    </w:rPr>
  </w:style>
  <w:style w:type="character" w:styleId="ListLabel58">
    <w:name w:val="ListLabel 58"/>
    <w:qFormat/>
    <w:rPr>
      <w:rFonts w:cs="Courier New"/>
    </w:rPr>
  </w:style>
  <w:style w:type="character" w:styleId="ListLabel59">
    <w:name w:val="ListLabel 59"/>
    <w:qFormat/>
    <w:rPr>
      <w:rFonts w:cs="Courier New"/>
    </w:rPr>
  </w:style>
  <w:style w:type="character" w:styleId="ListLabel60">
    <w:name w:val="ListLabel 60"/>
    <w:qFormat/>
    <w:rPr>
      <w:rFonts w:cs="Courier New"/>
    </w:rPr>
  </w:style>
  <w:style w:type="character" w:styleId="ListLabel61">
    <w:name w:val="ListLabel 61"/>
    <w:qFormat/>
    <w:rPr>
      <w:rFonts w:cs="Courier New"/>
    </w:rPr>
  </w:style>
  <w:style w:type="character" w:styleId="ListLabel62">
    <w:name w:val="ListLabel 62"/>
    <w:qFormat/>
    <w:rPr>
      <w:rFonts w:cs="Courier New"/>
    </w:rPr>
  </w:style>
  <w:style w:type="character" w:styleId="ListLabel63">
    <w:name w:val="ListLabel 63"/>
    <w:qFormat/>
    <w:rPr>
      <w:rFonts w:cs="Courier New"/>
    </w:rPr>
  </w:style>
  <w:style w:type="character" w:styleId="ListLabel64">
    <w:name w:val="ListLabel 64"/>
    <w:qFormat/>
    <w:rPr>
      <w:rFonts w:cs="Courier New"/>
    </w:rPr>
  </w:style>
  <w:style w:type="character" w:styleId="ListLabel65">
    <w:name w:val="ListLabel 65"/>
    <w:qFormat/>
    <w:rPr>
      <w:rFonts w:cs="Courier New"/>
    </w:rPr>
  </w:style>
  <w:style w:type="character" w:styleId="ListLabel66">
    <w:name w:val="ListLabel 66"/>
    <w:qFormat/>
    <w:rPr>
      <w:rFonts w:cs="Courier New"/>
    </w:rPr>
  </w:style>
  <w:style w:type="character" w:styleId="ListLabel67">
    <w:name w:val="ListLabel 67"/>
    <w:qFormat/>
    <w:rPr>
      <w:rFonts w:cs="Courier New"/>
    </w:rPr>
  </w:style>
  <w:style w:type="character" w:styleId="ListLabel68">
    <w:name w:val="ListLabel 68"/>
    <w:qFormat/>
    <w:rPr>
      <w:rFonts w:cs="Courier New"/>
    </w:rPr>
  </w:style>
  <w:style w:type="character" w:styleId="ListLabel69">
    <w:name w:val="ListLabel 69"/>
    <w:qFormat/>
    <w:rPr>
      <w:rFonts w:cs="Courier New"/>
    </w:rPr>
  </w:style>
  <w:style w:type="character" w:styleId="ListLabel70">
    <w:name w:val="ListLabel 70"/>
    <w:qFormat/>
    <w:rPr>
      <w:rFonts w:cs="Courier New"/>
    </w:rPr>
  </w:style>
  <w:style w:type="character" w:styleId="ListLabel71">
    <w:name w:val="ListLabel 71"/>
    <w:qFormat/>
    <w:rPr>
      <w:rFonts w:cs="Courier New"/>
    </w:rPr>
  </w:style>
  <w:style w:type="character" w:styleId="ListLabel72">
    <w:name w:val="ListLabel 72"/>
    <w:qFormat/>
    <w:rPr>
      <w:rFonts w:cs="Courier New"/>
    </w:rPr>
  </w:style>
  <w:style w:type="character" w:styleId="ListLabel73">
    <w:name w:val="ListLabel 73"/>
    <w:qFormat/>
    <w:rPr>
      <w:spacing w:val="-1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1"/>
    <w:qFormat/>
    <w:pPr/>
    <w:rPr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0"/>
    <w:qFormat/>
    <w:pPr>
      <w:spacing w:before="81" w:after="0"/>
      <w:ind w:left="4077" w:right="4107" w:hanging="0"/>
      <w:jc w:val="center"/>
    </w:pPr>
    <w:rPr>
      <w:rFonts w:ascii="Verdana" w:hAnsi="Verdana" w:eastAsia="Verdana" w:cs="Verdana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99" w:after="0"/>
      <w:ind w:left="960" w:hanging="361"/>
    </w:pPr>
    <w:rPr/>
  </w:style>
  <w:style w:type="paragraph" w:styleId="TableParagraph" w:customStyle="1">
    <w:name w:val="Table Paragraph"/>
    <w:basedOn w:val="Normal"/>
    <w:uiPriority w:val="1"/>
    <w:qFormat/>
    <w:pPr>
      <w:spacing w:before="10" w:after="0"/>
      <w:ind w:left="112" w:hanging="0"/>
    </w:pPr>
    <w:rPr/>
  </w:style>
  <w:style w:type="paragraph" w:styleId="NoSpacing">
    <w:name w:val="No Spacing"/>
    <w:uiPriority w:val="1"/>
    <w:qFormat/>
    <w:rsid w:val="009c3330"/>
    <w:pPr>
      <w:widowControl/>
      <w:bidi w:val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546f22"/>
    <w:pPr>
      <w:tabs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546f22"/>
    <w:pPr>
      <w:tabs>
        <w:tab w:val="center" w:pos="4680" w:leader="none"/>
        <w:tab w:val="right" w:pos="9360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rameshku8489@gmail.com" TargetMode="Externa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B0623E-C5B4-4B7E-B832-46AD0FA0A9F2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LibreOffice/6.0.7.3$Linux_X86_64 LibreOffice_project/00m0$Build-3</Application>
  <Pages>4</Pages>
  <Words>993</Words>
  <Characters>6623</Characters>
  <CharactersWithSpaces>7477</CharactersWithSpaces>
  <Paragraphs>134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2026-07-08T13:44:00Z</dcterms:created>
  <dc:creator/>
  <dc:description/>
  <dc:language>en-IN</dc:language>
  <cp:lastModifiedBy/>
  <dcterms:modified xsi:type="dcterms:W3CDTF">2026-07-10T12:34:28Z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reated">
    <vt:filetime>2021-11-10T00:00:00Z</vt:filetime>
  </property>
  <property fmtid="{D5CDD505-2E9C-101B-9397-08002B2CF9AE}" pid="4" name="Creator">
    <vt:lpwstr>Microsoft® Word for Microsoft 365</vt:lpwstr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astSaved">
    <vt:filetime>2023-05-23T00:00:00Z</vt:filetime>
  </property>
  <property fmtid="{D5CDD505-2E9C-101B-9397-08002B2CF9AE}" pid="8" name="LinksUpToDate">
    <vt:bool>0</vt:bool>
  </property>
  <property fmtid="{D5CDD505-2E9C-101B-9397-08002B2CF9AE}" pid="9" name="ScaleCrop">
    <vt:bool>0</vt:bool>
  </property>
  <property fmtid="{D5CDD505-2E9C-101B-9397-08002B2CF9AE}" pid="10" name="ShareDoc">
    <vt:bool>0</vt:bool>
  </property>
</Properties>
</file>