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shd w:val="clear" w:color="auto" w:fill="E6E6E6"/>
        <w:spacing w:before="96" w:after="0"/>
        <w:jc w:val="center"/>
        <w:rPr>
          <w:rFonts w:ascii="Cambria" w:hAnsi="Cambria"/>
          <w:b/>
          <w:b/>
        </w:rPr>
      </w:pPr>
      <w:r>
        <w:rPr>
          <w:rFonts w:ascii="Cambria" w:hAnsi="Cambria"/>
          <w:b/>
        </w:rPr>
        <w:t>SUNEEL YADAV</w:t>
      </w:r>
    </w:p>
    <w:p>
      <w:pPr>
        <w:pStyle w:val="Normal"/>
        <w:widowControl w:val="false"/>
        <w:shd w:val="clear" w:color="auto" w:fill="E6E6E6"/>
        <w:spacing w:before="96" w:after="0"/>
        <w:jc w:val="center"/>
        <w:rPr>
          <w:rFonts w:ascii="Cambria" w:hAnsi="Cambria"/>
          <w:b/>
          <w:b/>
        </w:rPr>
      </w:pPr>
      <w:r>
        <w:rPr>
          <w:rFonts w:ascii="Cambria" w:hAnsi="Cambria"/>
          <w:b/>
        </w:rPr>
        <w:t xml:space="preserve">VMware Architect | Cloud Solutions Specialist </w:t>
      </w:r>
    </w:p>
    <w:p>
      <w:pPr>
        <w:pStyle w:val="Normal"/>
        <w:widowControl w:val="false"/>
        <w:shd w:val="clear" w:color="auto" w:fill="E6E6E6"/>
        <w:spacing w:before="96" w:after="0"/>
        <w:jc w:val="center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114300" distR="114300">
                <wp:extent cx="5798185" cy="1333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5797440" cy="12600"/>
                        </a:xfrm>
                        <a:prstGeom prst="rect">
                          <a:avLst/>
                        </a:prstGeom>
                        <a:solidFill>
                          <a:srgbClr val="aca89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94000</wp14:pctWidth>
                </wp14:sizeRelH>
              </wp:inline>
            </w:drawing>
          </mc:Choice>
          <mc:Fallback>
            <w:pict>
              <v:rect id="shape_0" fillcolor="#aca899" stroked="f" style="position:absolute;margin-left:0pt;margin-top:-1.05pt;width:456.45pt;height:0.95pt;mso-position-vertical:top">
                <w10:wrap type="none"/>
                <v:fill o:detectmouseclick="t" type="solid" color2="#535766"/>
                <v:stroke color="#3465a4" joinstyle="round" endcap="flat"/>
              </v:rect>
            </w:pict>
          </mc:Fallback>
        </mc:AlternateContent>
      </w:r>
    </w:p>
    <w:p>
      <w:pPr>
        <w:pStyle w:val="Normal"/>
        <w:widowControl w:val="false"/>
        <w:shd w:val="clear" w:color="auto" w:fill="E6E6E6"/>
        <w:spacing w:before="96" w:after="0"/>
        <w:jc w:val="center"/>
        <w:rPr>
          <w:rFonts w:ascii="Cambria" w:hAnsi="Cambria"/>
        </w:rPr>
      </w:pPr>
      <w:r>
        <w:rPr>
          <w:rFonts w:ascii="Cambria" w:hAnsi="Cambria"/>
        </w:rPr>
        <w:t>Mobile: +91 –7566114665 ~ E-Mail: sunily646@gmail.com</w:t>
      </w:r>
    </w:p>
    <w:p>
      <w:pPr>
        <w:pStyle w:val="Normal"/>
        <w:rPr>
          <w:rFonts w:ascii="Cambria" w:hAnsi="Cambria" w:cs="Calibri"/>
          <w:color w:val="000000"/>
        </w:rPr>
      </w:pPr>
      <w:r>
        <w:rPr>
          <w:rFonts w:cs="Calibri" w:ascii="Cambria" w:hAnsi="Cambria"/>
          <w:color w:val="000000"/>
        </w:rPr>
      </w:r>
    </w:p>
    <w:p>
      <w:pPr>
        <w:pStyle w:val="Normal"/>
        <w:widowControl w:val="false"/>
        <w:pBdr>
          <w:bottom w:val="threeDEngrave" w:sz="18" w:space="1" w:color="000000"/>
        </w:pBdr>
        <w:spacing w:before="96" w:after="0"/>
        <w:rPr>
          <w:rFonts w:ascii="Cambria" w:hAnsi="Cambria" w:cs="Calibri"/>
          <w:color w:val="000000"/>
        </w:rPr>
      </w:pPr>
      <w:r>
        <w:rPr>
          <w:rFonts w:cs="Calibri" w:ascii="Cambria" w:hAnsi="Cambria"/>
          <w:color w:val="000000"/>
        </w:rPr>
        <w:t>Highly ambitious and Results-oriented IT Professional with over 14+ years of experience specializing in VMware Cloud Foundation (VCF), Nutanix, and Azure Cloud. Proven expertise in architecting, implementing, and migrating large-scale data center environments 20 plus VCF Infra deployment including the remediation of over 30,000 ESXi hosts. Adept at leading cross-functional teams and delivering innovative solutions for global clients.</w:t>
      </w:r>
    </w:p>
    <w:p>
      <w:pPr>
        <w:pStyle w:val="Normal"/>
        <w:widowControl w:val="false"/>
        <w:pBdr>
          <w:bottom w:val="threeDEngrave" w:sz="18" w:space="1" w:color="000000"/>
        </w:pBdr>
        <w:spacing w:before="96" w:after="0"/>
        <w:jc w:val="center"/>
        <w:rPr>
          <w:rFonts w:ascii="Cambria" w:hAnsi="Cambria"/>
          <w:b/>
          <w:b/>
          <w:color w:val="1F497D"/>
        </w:rPr>
      </w:pPr>
      <w:r>
        <w:rPr>
          <w:rFonts w:ascii="Cambria" w:hAnsi="Cambria"/>
          <w:b/>
          <w:color w:val="1F497D"/>
        </w:rPr>
        <w:t>TECHNICAL SKILLS</w:t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beforeAutospacing="1" w:after="0"/>
        <w:ind w:left="426" w:hanging="426"/>
        <w:jc w:val="both"/>
        <w:rPr>
          <w:rFonts w:ascii="Cambria" w:hAnsi="Cambria" w:cs="Calibri"/>
          <w:color w:val="000000"/>
        </w:rPr>
      </w:pPr>
      <w:r>
        <w:rPr>
          <w:rFonts w:cs="Calibri" w:ascii="Cambria" w:hAnsi="Cambria"/>
          <w:b/>
          <w:color w:val="000000"/>
        </w:rPr>
        <w:t>Virtualization:</w:t>
      </w:r>
      <w:r>
        <w:rPr>
          <w:rFonts w:cs="Calibri" w:ascii="Cambria" w:hAnsi="Cambria"/>
          <w:color w:val="000000"/>
        </w:rPr>
        <w:t xml:space="preserve"> VMware VCF (4.4 to 9.1), vSphere (ESXi/vCenter 5.5 to 9.1), VCF OPS, Fleet, VCF Automation, Hyper-V, Nutanix Foundation, Nutanix AHV, Prism Element and Prism Center</w:t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before="0" w:after="0"/>
        <w:ind w:left="426" w:hanging="426"/>
        <w:jc w:val="both"/>
        <w:rPr>
          <w:rFonts w:ascii="Cambria" w:hAnsi="Cambria" w:cs="Calibri"/>
          <w:color w:val="000000"/>
        </w:rPr>
      </w:pPr>
      <w:r>
        <w:rPr>
          <w:rFonts w:cs="Calibri" w:ascii="Cambria" w:hAnsi="Cambria"/>
          <w:b/>
          <w:color w:val="000000"/>
        </w:rPr>
        <w:t>Cloud Technologies:</w:t>
      </w:r>
      <w:r>
        <w:rPr>
          <w:rFonts w:cs="Calibri" w:ascii="Cambria" w:hAnsi="Cambria"/>
          <w:color w:val="000000"/>
        </w:rPr>
        <w:t xml:space="preserve"> Microsoft Azure (AVD, VNet, RBAC, Azure Backup), Hybrid Cloud integration.</w:t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before="0" w:after="0"/>
        <w:ind w:left="426" w:hanging="426"/>
        <w:jc w:val="both"/>
        <w:rPr>
          <w:rFonts w:ascii="Cambria" w:hAnsi="Cambria" w:cs="Calibri"/>
          <w:color w:val="000000"/>
        </w:rPr>
      </w:pPr>
      <w:r>
        <w:rPr>
          <w:rFonts w:cs="Calibri" w:ascii="Cambria" w:hAnsi="Cambria"/>
          <w:b/>
          <w:color w:val="000000"/>
        </w:rPr>
        <w:t>Infrastructure Management:</w:t>
      </w:r>
      <w:r>
        <w:rPr>
          <w:rFonts w:cs="Calibri" w:ascii="Cambria" w:hAnsi="Cambria"/>
          <w:color w:val="000000"/>
        </w:rPr>
        <w:t xml:space="preserve"> SDDC Manager, vRSLCM, vSAN (Hybrid/All-Flash/Stretched), NSX-T.</w:t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before="0" w:after="0"/>
        <w:ind w:left="426" w:hanging="426"/>
        <w:jc w:val="both"/>
        <w:rPr>
          <w:rFonts w:ascii="Cambria" w:hAnsi="Cambria" w:cs="Calibri"/>
          <w:color w:val="000000"/>
        </w:rPr>
      </w:pPr>
      <w:r>
        <w:rPr>
          <w:rFonts w:cs="Calibri" w:ascii="Cambria" w:hAnsi="Cambria"/>
          <w:b/>
          <w:color w:val="000000"/>
        </w:rPr>
        <w:t>Aria Suite (vRealize):</w:t>
      </w:r>
      <w:r>
        <w:rPr>
          <w:rFonts w:cs="Calibri" w:ascii="Cambria" w:hAnsi="Cambria"/>
          <w:color w:val="000000"/>
        </w:rPr>
        <w:t xml:space="preserve"> Aria Operations (vROPS), Logs (VRLI), Networks (VRNI), Automation (vRA), VIDM.</w:t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before="0" w:after="0"/>
        <w:ind w:left="426" w:hanging="426"/>
        <w:jc w:val="both"/>
        <w:rPr>
          <w:rFonts w:ascii="Cambria" w:hAnsi="Cambria" w:cs="Calibri"/>
          <w:color w:val="000000"/>
        </w:rPr>
      </w:pPr>
      <w:r>
        <w:rPr>
          <w:rFonts w:cs="Calibri" w:ascii="Cambria" w:hAnsi="Cambria"/>
          <w:b/>
          <w:color w:val="000000"/>
        </w:rPr>
        <w:t>Migration &amp; DR:</w:t>
      </w:r>
      <w:r>
        <w:rPr>
          <w:rFonts w:cs="Calibri" w:ascii="Cambria" w:hAnsi="Cambria"/>
          <w:color w:val="000000"/>
        </w:rPr>
        <w:t xml:space="preserve"> VMware HCX, Nutanix Move, VMware Converter (P2V/V2V), VMware SRM, Site Recovery, Dell Recovery Point </w:t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before="0" w:after="0"/>
        <w:ind w:left="426" w:hanging="426"/>
        <w:jc w:val="both"/>
        <w:rPr>
          <w:rFonts w:ascii="Cambria" w:hAnsi="Cambria" w:cs="Calibri"/>
          <w:color w:val="000000"/>
        </w:rPr>
      </w:pPr>
      <w:r>
        <w:rPr>
          <w:rFonts w:cs="Calibri" w:ascii="Cambria" w:hAnsi="Cambria"/>
          <w:b/>
          <w:color w:val="000000"/>
        </w:rPr>
        <w:t>Server Administration:</w:t>
      </w:r>
      <w:r>
        <w:rPr>
          <w:rFonts w:cs="Calibri" w:ascii="Cambria" w:hAnsi="Cambria"/>
          <w:color w:val="000000"/>
        </w:rPr>
        <w:t xml:space="preserve"> Active Directory, DNS, DHCP, DFS, Group Policy, Windows Server (2008 R2 to 2025).</w:t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before="0" w:after="0"/>
        <w:ind w:left="426" w:hanging="426"/>
        <w:jc w:val="both"/>
        <w:rPr>
          <w:rFonts w:ascii="Cambria" w:hAnsi="Cambria" w:cs="Calibri"/>
          <w:color w:val="000000"/>
        </w:rPr>
      </w:pPr>
      <w:r>
        <w:rPr>
          <w:rFonts w:cs="Calibri" w:ascii="Cambria" w:hAnsi="Cambria"/>
          <w:b/>
          <w:color w:val="000000"/>
        </w:rPr>
        <w:t>Hardware:</w:t>
      </w:r>
      <w:r>
        <w:rPr>
          <w:rFonts w:cs="Calibri" w:ascii="Cambria" w:hAnsi="Cambria"/>
          <w:color w:val="000000"/>
        </w:rPr>
        <w:t xml:space="preserve"> HP ProLiant DL/Blades, Dell VxRail, Lenovo, </w:t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before="0" w:afterAutospacing="1"/>
        <w:ind w:left="426" w:hanging="426"/>
        <w:jc w:val="both"/>
        <w:rPr>
          <w:rFonts w:ascii="Cambria" w:hAnsi="Cambria" w:cs="Calibri"/>
          <w:color w:val="000000"/>
        </w:rPr>
      </w:pPr>
      <w:r>
        <w:rPr>
          <w:rFonts w:cs="Calibri" w:ascii="Cambria" w:hAnsi="Cambria"/>
          <w:b/>
          <w:color w:val="000000"/>
        </w:rPr>
        <w:t>Tools:</w:t>
      </w:r>
      <w:r>
        <w:rPr>
          <w:rFonts w:cs="Calibri" w:ascii="Cambria" w:hAnsi="Cambria"/>
          <w:color w:val="000000"/>
        </w:rPr>
        <w:t xml:space="preserve"> Helix, ServiceNow, Freshdesk, Site24*7, PowerCLI scripting.</w:t>
      </w:r>
    </w:p>
    <w:p>
      <w:pPr>
        <w:pStyle w:val="Normal"/>
        <w:widowControl w:val="false"/>
        <w:pBdr>
          <w:bottom w:val="threeDEngrave" w:sz="18" w:space="1" w:color="000000"/>
        </w:pBdr>
        <w:spacing w:before="96" w:after="0"/>
        <w:jc w:val="center"/>
        <w:rPr>
          <w:rFonts w:ascii="Cambria" w:hAnsi="Cambria"/>
          <w:b/>
          <w:b/>
          <w:color w:val="1F497D"/>
        </w:rPr>
      </w:pPr>
      <w:r>
        <w:rPr>
          <w:rFonts w:ascii="Cambria" w:hAnsi="Cambria"/>
          <w:b/>
          <w:color w:val="1F497D"/>
        </w:rPr>
        <w:t>WORK EXPERIENCE</w:t>
      </w:r>
    </w:p>
    <w:p>
      <w:pPr>
        <w:pStyle w:val="ListParagraph"/>
        <w:spacing w:before="0" w:after="0"/>
        <w:ind w:left="180" w:hanging="0"/>
        <w:contextualSpacing/>
        <w:rPr>
          <w:rFonts w:ascii="Cambria" w:hAnsi="Cambria" w:eastAsia="Times New Roman" w:cs="Calibri"/>
          <w:color w:val="000000" w:themeColor="text1"/>
          <w:lang w:val="en-US"/>
        </w:rPr>
      </w:pPr>
      <w:r>
        <w:rPr>
          <w:rFonts w:eastAsia="Times New Roman" w:cs="Calibri" w:ascii="Cambria" w:hAnsi="Cambria"/>
          <w:color w:val="000000" w:themeColor="text1"/>
          <w:lang w:val="en-US"/>
        </w:rPr>
      </w:r>
    </w:p>
    <w:p>
      <w:pPr>
        <w:pStyle w:val="ListParagraph"/>
        <w:numPr>
          <w:ilvl w:val="0"/>
          <w:numId w:val="3"/>
        </w:numPr>
        <w:ind w:left="567" w:hanging="567"/>
        <w:rPr>
          <w:rFonts w:ascii="Cambria" w:hAnsi="Cambria" w:eastAsia="Times New Roman" w:cs="Calibri"/>
          <w:color w:val="000000" w:themeColor="text1"/>
        </w:rPr>
      </w:pPr>
      <w:r>
        <w:rPr>
          <w:rFonts w:cs="Calibri" w:ascii="Cambria" w:hAnsi="Cambria"/>
          <w:color w:val="000000" w:themeColor="text1"/>
        </w:rPr>
        <w:t xml:space="preserve">Yash technologies Pvt Ltd as </w:t>
      </w:r>
      <w:r>
        <w:rPr>
          <w:rFonts w:cs="Calibri" w:ascii="Cambria" w:hAnsi="Cambria"/>
          <w:b/>
          <w:color w:val="000000" w:themeColor="text1"/>
        </w:rPr>
        <w:t>Senior</w:t>
      </w:r>
      <w:r>
        <w:rPr>
          <w:rFonts w:eastAsia="Times New Roman" w:cs="Calibri" w:ascii="Cambria" w:hAnsi="Cambria"/>
          <w:b/>
          <w:color w:val="000000" w:themeColor="text1"/>
        </w:rPr>
        <w:t xml:space="preserve"> Consultant</w:t>
      </w:r>
      <w:r>
        <w:rPr>
          <w:rFonts w:cs="Calibri" w:ascii="Cambria" w:hAnsi="Cambria"/>
          <w:color w:val="000000" w:themeColor="text1"/>
        </w:rPr>
        <w:tab/>
        <w:tab/>
        <w:tab/>
        <w:tab/>
        <w:tab/>
        <w:tab/>
        <w:tab/>
        <w:tab/>
        <w:tab/>
        <w:tab/>
      </w:r>
      <w:r>
        <w:rPr>
          <w:rFonts w:eastAsia="Times New Roman" w:cs="Calibri" w:ascii="Cambria" w:hAnsi="Cambria"/>
          <w:color w:val="000000" w:themeColor="text1"/>
        </w:rPr>
        <w:t xml:space="preserve"> Feb 2022 to Till Now</w:t>
      </w:r>
    </w:p>
    <w:p>
      <w:pPr>
        <w:pStyle w:val="ListParagraph"/>
        <w:numPr>
          <w:ilvl w:val="0"/>
          <w:numId w:val="3"/>
        </w:numPr>
        <w:ind w:left="567" w:hanging="567"/>
        <w:rPr>
          <w:rFonts w:ascii="Cambria" w:hAnsi="Cambria" w:cs="Calibri"/>
          <w:color w:val="000000" w:themeColor="text1"/>
        </w:rPr>
      </w:pPr>
      <w:r>
        <w:rPr>
          <w:rFonts w:cs="Calibri" w:ascii="Cambria" w:hAnsi="Cambria"/>
          <w:color w:val="000000" w:themeColor="text1"/>
        </w:rPr>
        <w:t xml:space="preserve">Euclid Innovation as </w:t>
      </w:r>
      <w:r>
        <w:rPr>
          <w:rFonts w:cs="Calibri" w:ascii="Cambria" w:hAnsi="Cambria"/>
          <w:b/>
          <w:color w:val="000000" w:themeColor="text1"/>
        </w:rPr>
        <w:t>VMware Architect</w:t>
      </w:r>
      <w:r>
        <w:rPr>
          <w:rFonts w:cs="Calibri" w:ascii="Cambria" w:hAnsi="Cambria"/>
          <w:color w:val="000000" w:themeColor="text1"/>
        </w:rPr>
        <w:t xml:space="preserve"> </w:t>
        <w:tab/>
        <w:tab/>
        <w:tab/>
        <w:tab/>
        <w:tab/>
        <w:tab/>
        <w:tab/>
        <w:t xml:space="preserve"> </w:t>
        <w:tab/>
        <w:tab/>
        <w:tab/>
        <w:tab/>
        <w:tab/>
        <w:t>August 2021 to Jan 2022</w:t>
      </w:r>
    </w:p>
    <w:p>
      <w:pPr>
        <w:pStyle w:val="ListParagraph"/>
        <w:numPr>
          <w:ilvl w:val="0"/>
          <w:numId w:val="3"/>
        </w:numPr>
        <w:ind w:left="567" w:hanging="567"/>
        <w:rPr>
          <w:rFonts w:ascii="Cambria" w:hAnsi="Cambria" w:eastAsia="Times New Roman" w:cs="Calibri"/>
          <w:color w:val="000000" w:themeColor="text1"/>
        </w:rPr>
      </w:pPr>
      <w:r>
        <w:rPr>
          <w:rFonts w:cs="Calibri" w:ascii="Cambria" w:hAnsi="Cambria"/>
          <w:color w:val="000000" w:themeColor="text1"/>
        </w:rPr>
        <w:t xml:space="preserve">Capgemini India Pvt Ltd as </w:t>
      </w:r>
      <w:r>
        <w:rPr>
          <w:rFonts w:cs="Calibri" w:ascii="Cambria" w:hAnsi="Cambria"/>
          <w:b/>
          <w:color w:val="000000" w:themeColor="text1"/>
        </w:rPr>
        <w:t>Senior</w:t>
      </w:r>
      <w:r>
        <w:rPr>
          <w:rFonts w:eastAsia="Times New Roman" w:cs="Calibri" w:ascii="Cambria" w:hAnsi="Cambria"/>
          <w:b/>
          <w:color w:val="000000" w:themeColor="text1"/>
        </w:rPr>
        <w:t xml:space="preserve"> Consultant</w:t>
      </w:r>
      <w:r>
        <w:rPr>
          <w:rFonts w:cs="Calibri" w:ascii="Cambria" w:hAnsi="Cambria"/>
          <w:color w:val="000000" w:themeColor="text1"/>
        </w:rPr>
        <w:t xml:space="preserve"> </w:t>
        <w:tab/>
        <w:tab/>
        <w:tab/>
        <w:tab/>
        <w:tab/>
      </w:r>
      <w:r>
        <w:rPr>
          <w:rFonts w:eastAsia="Times New Roman" w:cs="Calibri" w:ascii="Cambria" w:hAnsi="Cambria"/>
          <w:color w:val="000000" w:themeColor="text1"/>
        </w:rPr>
        <w:t xml:space="preserve"> </w:t>
      </w:r>
      <w:r>
        <w:rPr>
          <w:rFonts w:cs="Calibri" w:ascii="Cambria" w:hAnsi="Cambria"/>
          <w:color w:val="000000" w:themeColor="text1"/>
        </w:rPr>
        <w:tab/>
        <w:tab/>
        <w:tab/>
        <w:tab/>
        <w:tab/>
        <w:tab/>
      </w:r>
      <w:r>
        <w:rPr>
          <w:rFonts w:eastAsia="Times New Roman" w:cs="Calibri" w:ascii="Cambria" w:hAnsi="Cambria"/>
          <w:color w:val="000000" w:themeColor="text1"/>
        </w:rPr>
        <w:t>Apr 2019 to June 2021</w:t>
      </w:r>
    </w:p>
    <w:p>
      <w:pPr>
        <w:pStyle w:val="ListParagraph"/>
        <w:numPr>
          <w:ilvl w:val="0"/>
          <w:numId w:val="3"/>
        </w:numPr>
        <w:ind w:left="567" w:hanging="567"/>
        <w:rPr>
          <w:rFonts w:ascii="Cambria" w:hAnsi="Cambria" w:cs="Calibri"/>
          <w:color w:val="000000" w:themeColor="text1"/>
        </w:rPr>
      </w:pPr>
      <w:r>
        <w:rPr>
          <w:rFonts w:cs="Calibri" w:ascii="Cambria" w:hAnsi="Cambria"/>
          <w:color w:val="000000" w:themeColor="text1"/>
        </w:rPr>
        <w:t xml:space="preserve">AB Mobile Standard Alliance India Pvt. Ltd as Sr. System admin  </w:t>
        <w:tab/>
        <w:tab/>
        <w:tab/>
        <w:tab/>
        <w:tab/>
        <w:tab/>
        <w:t>Mar 2017 to Jul 2018</w:t>
      </w:r>
    </w:p>
    <w:p>
      <w:pPr>
        <w:pStyle w:val="ListParagraph"/>
        <w:numPr>
          <w:ilvl w:val="0"/>
          <w:numId w:val="3"/>
        </w:numPr>
        <w:ind w:left="567" w:hanging="567"/>
        <w:rPr>
          <w:rFonts w:ascii="Cambria" w:hAnsi="Cambria" w:cs="Calibri"/>
          <w:color w:val="000000" w:themeColor="text1"/>
        </w:rPr>
      </w:pPr>
      <w:r>
        <w:rPr>
          <w:rFonts w:cs="Calibri" w:ascii="Cambria" w:hAnsi="Cambria"/>
          <w:color w:val="000000" w:themeColor="text1"/>
        </w:rPr>
        <w:t>IL&amp;FS Technologies Limited as System administrator L3</w:t>
        <w:tab/>
        <w:tab/>
        <w:tab/>
        <w:t xml:space="preserve"> </w:t>
        <w:tab/>
        <w:tab/>
        <w:tab/>
        <w:tab/>
        <w:tab/>
        <w:t>Jan 2014 to Mar 2017</w:t>
      </w:r>
    </w:p>
    <w:p>
      <w:pPr>
        <w:pStyle w:val="ListParagraph"/>
        <w:numPr>
          <w:ilvl w:val="0"/>
          <w:numId w:val="3"/>
        </w:numPr>
        <w:ind w:left="567" w:hanging="567"/>
        <w:rPr>
          <w:rFonts w:ascii="Cambria" w:hAnsi="Cambria" w:cs="Calibri"/>
          <w:color w:val="000000" w:themeColor="text1"/>
        </w:rPr>
      </w:pPr>
      <w:r>
        <w:rPr>
          <w:rFonts w:cs="Calibri" w:ascii="Cambria" w:hAnsi="Cambria"/>
          <w:color w:val="000000" w:themeColor="text1"/>
        </w:rPr>
        <w:t>Soft Tech Computer as Hardware Engineer</w:t>
        <w:tab/>
        <w:tab/>
        <w:tab/>
        <w:tab/>
        <w:tab/>
        <w:tab/>
        <w:tab/>
        <w:tab/>
        <w:tab/>
        <w:tab/>
        <w:tab/>
        <w:tab/>
        <w:t>Jul 2011 to Oct 2013</w:t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VMware &amp; Virtualization: Roles &amp; Responsibilities</w:t>
      </w:r>
    </w:p>
    <w:p>
      <w:pPr>
        <w:pStyle w:val="Normal"/>
        <w:numPr>
          <w:ilvl w:val="0"/>
          <w:numId w:val="0"/>
        </w:numPr>
        <w:outlineLvl w:val="3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Architectural &amp; SDDC Management (VCF)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 xml:space="preserve">VCF Deployment: </w:t>
      </w:r>
      <w:r>
        <w:rPr>
          <w:rFonts w:ascii="Cambria" w:hAnsi="Cambria"/>
          <w:b/>
          <w:bCs/>
          <w:color w:val="000000" w:themeColor="text1"/>
        </w:rPr>
        <w:t>VCF 9.1, 9.0.1, 9.0.2, 5.2.2</w:t>
      </w:r>
      <w:r>
        <w:rPr>
          <w:rFonts w:ascii="Cambria" w:hAnsi="Cambria"/>
          <w:color w:val="000000" w:themeColor="text1"/>
        </w:rPr>
        <w:t xml:space="preserve"> deployed Managed and configure the VCF OPS, VCF Automation , VCF Identity broker. VCF HCX, VCF Network, VCF Logs, NSX. SDDC Manager, Fleet, VCF Services and all the VCF components using VCF Installer and Cloud Builder to manage enterprise-scale HCI environments including VXRack SDDC and VXRail.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Upgrades &amp; Patching:</w:t>
      </w:r>
      <w:r>
        <w:rPr>
          <w:rFonts w:ascii="Cambria" w:hAnsi="Cambria"/>
          <w:color w:val="000000" w:themeColor="text1"/>
        </w:rPr>
        <w:t xml:space="preserve"> Upgraded VCF from 4.5 to 5.2.2 and 9.0.2 and 9.1, including all components (VRSLCM, SDDC,NSX, vCenter, ESXi), VCF OPS, VCF Automation VCF Identity broker.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Infrastructure Remediation:</w:t>
      </w:r>
      <w:r>
        <w:rPr>
          <w:rFonts w:ascii="Cambria" w:hAnsi="Cambria"/>
          <w:color w:val="000000" w:themeColor="text1"/>
        </w:rPr>
        <w:t xml:space="preserve"> Successfully managed a project for 30,000 ESXi hosts, upgrading them to version 7.0 and hardening security.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Aria Suite:</w:t>
      </w:r>
      <w:r>
        <w:rPr>
          <w:rFonts w:ascii="Cambria" w:hAnsi="Cambria"/>
          <w:color w:val="000000" w:themeColor="text1"/>
        </w:rPr>
        <w:t xml:space="preserve"> Configured and managed vROPS, VRNI, VRLI, and Aria Automation (vRA) through vRLSCM.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Domain Administration:</w:t>
      </w:r>
      <w:r>
        <w:rPr>
          <w:rFonts w:ascii="Cambria" w:hAnsi="Cambria"/>
          <w:color w:val="000000" w:themeColor="text1"/>
        </w:rPr>
        <w:t xml:space="preserve"> Configured and managed Management Domains and Workload Domains, including dedicated vSAN workload SQL clusters.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Capacity Planning:</w:t>
      </w:r>
      <w:r>
        <w:rPr>
          <w:rFonts w:ascii="Cambria" w:hAnsi="Cambria"/>
          <w:color w:val="000000" w:themeColor="text1"/>
        </w:rPr>
        <w:t xml:space="preserve"> Streamlined host commissioning and decommissioning via SDDC Manager and managed global host/appliance password rotations.</w:t>
      </w:r>
    </w:p>
    <w:p>
      <w:pPr>
        <w:pStyle w:val="Normal"/>
        <w:numPr>
          <w:ilvl w:val="0"/>
          <w:numId w:val="0"/>
        </w:numPr>
        <w:outlineLvl w:val="2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Migration &amp; Cloud Integration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Legacy-to-Cloud Migration:</w:t>
      </w:r>
      <w:r>
        <w:rPr>
          <w:rFonts w:ascii="Cambria" w:hAnsi="Cambria"/>
          <w:color w:val="000000" w:themeColor="text1"/>
        </w:rPr>
        <w:t xml:space="preserve"> Led large-scale bulk migrations using VMware HCX, transitioning traditional on-premise infrastructure to VCF 5.2 and Azure Cloud environments.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Conversion Expertise:</w:t>
      </w:r>
      <w:r>
        <w:rPr>
          <w:rFonts w:ascii="Cambria" w:hAnsi="Cambria"/>
          <w:color w:val="000000" w:themeColor="text1"/>
        </w:rPr>
        <w:t xml:space="preserve"> Executed seamless P2V (Physical to Virtual) and V2V (Virtual to Virtual) conversions using VMware vCenter Converter.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Workload Mobility:</w:t>
      </w:r>
      <w:r>
        <w:rPr>
          <w:rFonts w:ascii="Cambria" w:hAnsi="Cambria"/>
          <w:color w:val="000000" w:themeColor="text1"/>
        </w:rPr>
        <w:t xml:space="preserve"> Managed live workload migrations across clusters and data centers using vMotion and Storage vMotion.</w:t>
      </w:r>
    </w:p>
    <w:p>
      <w:pPr>
        <w:pStyle w:val="Normal"/>
        <w:numPr>
          <w:ilvl w:val="0"/>
          <w:numId w:val="0"/>
        </w:numPr>
        <w:outlineLvl w:val="2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Scale Remediation &amp; Automation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Enterprise Remediation:</w:t>
      </w:r>
      <w:r>
        <w:rPr>
          <w:rFonts w:ascii="Cambria" w:hAnsi="Cambria"/>
          <w:color w:val="000000" w:themeColor="text1"/>
        </w:rPr>
        <w:t xml:space="preserve"> Directed a massive remediation project for 30,000 ESXi hosts across Dell, HP, and Lenovo hardware, ensuring all hosts were upgraded to compliant build versions.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Automation &amp; Scripting:</w:t>
      </w:r>
      <w:r>
        <w:rPr>
          <w:rFonts w:ascii="Cambria" w:hAnsi="Cambria"/>
          <w:color w:val="000000" w:themeColor="text1"/>
        </w:rPr>
        <w:t xml:space="preserve"> Developed and utilized PowerCLI scripts to automate security hardening, bulk security configuration changes, and host remediation verification.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b/>
          <w:b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Security Hardening:</w:t>
      </w:r>
      <w:r>
        <w:rPr>
          <w:rFonts w:ascii="Cambria" w:hAnsi="Cambria"/>
          <w:color w:val="000000" w:themeColor="text1"/>
        </w:rPr>
        <w:t xml:space="preserve"> Implemented VMware-recommended security policies.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vSAN Architecture:</w:t>
      </w:r>
      <w:r>
        <w:rPr>
          <w:rFonts w:ascii="Cambria" w:hAnsi="Cambria"/>
          <w:color w:val="000000" w:themeColor="text1"/>
        </w:rPr>
        <w:t xml:space="preserve"> Configured complex vSAN environments including ESA and OSA and Hybrid, All-Flash, Stretched Clusters, and ROBO configurations with custom VM Storage Policies.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Advanced Networking:</w:t>
      </w:r>
      <w:r>
        <w:rPr>
          <w:rFonts w:ascii="Cambria" w:hAnsi="Cambria"/>
          <w:color w:val="000000" w:themeColor="text1"/>
        </w:rPr>
        <w:t xml:space="preserve"> Managed the transition from Standard Switches to vSphere Distributed Switches (VDS), including port group migration and complex Teaming/Failover configurations (LBT).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Optimized Routing:</w:t>
      </w:r>
      <w:r>
        <w:rPr>
          <w:rFonts w:ascii="Cambria" w:hAnsi="Cambria"/>
          <w:color w:val="000000" w:themeColor="text1"/>
        </w:rPr>
        <w:t xml:space="preserve"> Tuned load balancing policies from "Originating Virtual Port" to "Physical NIC Load" for enhanced throughput.</w:t>
      </w:r>
    </w:p>
    <w:p>
      <w:pPr>
        <w:pStyle w:val="Normal"/>
        <w:numPr>
          <w:ilvl w:val="0"/>
          <w:numId w:val="0"/>
        </w:numPr>
        <w:outlineLvl w:val="2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Infrastructure Administration &amp; Maintenance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Hypervisor Management:</w:t>
      </w:r>
      <w:r>
        <w:rPr>
          <w:rFonts w:ascii="Cambria" w:hAnsi="Cambria"/>
          <w:color w:val="000000" w:themeColor="text1"/>
        </w:rPr>
        <w:t xml:space="preserve"> Expert installation, configuration, and patching of ESXi (5.5 through 9.0) and vCenter Server Appliance in Standalone and Linked modes.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High Availability:</w:t>
      </w:r>
      <w:r>
        <w:rPr>
          <w:rFonts w:ascii="Cambria" w:hAnsi="Cambria"/>
          <w:color w:val="000000" w:themeColor="text1"/>
        </w:rPr>
        <w:t xml:space="preserve"> Configured and maintained HA, DRS clusters, and Fault Tolerance (FT) to ensure 99.9% uptime for business-critical applications.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Performance Monitoring:</w:t>
      </w:r>
      <w:r>
        <w:rPr>
          <w:rFonts w:ascii="Cambria" w:hAnsi="Cambria"/>
          <w:color w:val="000000" w:themeColor="text1"/>
        </w:rPr>
        <w:t xml:space="preserve"> Conducted deep-dive monitoring of CPU, Memory, Disk, and Network utilization using HTML5 Client, vROps (Aria Operations), and Nagios.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Hardware Monitoring:</w:t>
      </w:r>
      <w:r>
        <w:rPr>
          <w:rFonts w:ascii="Cambria" w:hAnsi="Cambria"/>
          <w:color w:val="000000" w:themeColor="text1"/>
        </w:rPr>
        <w:t xml:space="preserve"> Managed physical health of HP Blade servers via HPE OneView, including ILO configuration and Syslog pathing for centralized logging.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Standard Operations:</w:t>
      </w:r>
      <w:r>
        <w:rPr>
          <w:rFonts w:ascii="Cambria" w:hAnsi="Cambria"/>
          <w:color w:val="000000" w:themeColor="text1"/>
        </w:rPr>
        <w:t xml:space="preserve"> Handled daily operational tasks including snapshots, templates, cloning, and VM Tools management.</w:t>
      </w:r>
    </w:p>
    <w:p>
      <w:pPr>
        <w:pStyle w:val="Normal"/>
        <w:numPr>
          <w:ilvl w:val="0"/>
          <w:numId w:val="0"/>
        </w:numPr>
        <w:outlineLvl w:val="3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Microsoft Azure Cloud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AVD Management: Expert in deploying and optimizing Azure Virtual Desktop, including multi-session Windows 10/11 and FSLogix.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Security &amp; Identity: Integrated Azure AD with on-premise AD, configuring MFA, RBAC, and Conditional Access.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Proficient in deploying and managing host pools, session hosts, workspaces, and application groups.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Profile Management: Hands-on experience with Windows 10/11 multi-session and FSLogix user profile containers.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Connectivity: Implementing VNet peering, NSGs, RDP Shortpath, and point-to-site VPNs.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Optimization: Proficient in MSIX App Attach, Teams Optimization, and auto-scaling via Azure Monitor.</w:t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Resource Management: Deploying ARM virtual machines via Azure portal and deployment templates</w:t>
      </w:r>
    </w:p>
    <w:p>
      <w:pPr>
        <w:pStyle w:val="Normal"/>
        <w:numPr>
          <w:ilvl w:val="0"/>
          <w:numId w:val="0"/>
        </w:numPr>
        <w:outlineLvl w:val="3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Windows Server &amp; AD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Installed and configured </w:t>
      </w:r>
      <w:r>
        <w:rPr>
          <w:rFonts w:ascii="Cambria" w:hAnsi="Cambria"/>
          <w:b/>
          <w:bCs/>
          <w:color w:val="000000" w:themeColor="text1"/>
        </w:rPr>
        <w:t>Active Directory Domain Controllers</w:t>
      </w:r>
      <w:r>
        <w:rPr>
          <w:rFonts w:ascii="Cambria" w:hAnsi="Cambria"/>
          <w:color w:val="000000" w:themeColor="text1"/>
        </w:rPr>
        <w:t xml:space="preserve"> across Windows Server versions (2008, 2012, 2016, 2019, 2022).</w:t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Planned and executed </w:t>
      </w:r>
      <w:r>
        <w:rPr>
          <w:rFonts w:ascii="Cambria" w:hAnsi="Cambria"/>
          <w:b/>
          <w:bCs/>
          <w:color w:val="000000" w:themeColor="text1"/>
        </w:rPr>
        <w:t>Active Directory schema migrations</w:t>
      </w:r>
      <w:r>
        <w:rPr>
          <w:rFonts w:ascii="Cambria" w:hAnsi="Cambria"/>
          <w:color w:val="000000" w:themeColor="text1"/>
        </w:rPr>
        <w:t>.</w:t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Troubleshot </w:t>
      </w:r>
      <w:r>
        <w:rPr>
          <w:rFonts w:ascii="Cambria" w:hAnsi="Cambria"/>
          <w:b/>
          <w:bCs/>
          <w:color w:val="000000" w:themeColor="text1"/>
        </w:rPr>
        <w:t>replication issues</w:t>
      </w:r>
      <w:r>
        <w:rPr>
          <w:rFonts w:ascii="Cambria" w:hAnsi="Cambria"/>
          <w:color w:val="000000" w:themeColor="text1"/>
        </w:rPr>
        <w:t xml:space="preserve"> and performed </w:t>
      </w:r>
      <w:r>
        <w:rPr>
          <w:rFonts w:ascii="Cambria" w:hAnsi="Cambria"/>
          <w:b/>
          <w:bCs/>
          <w:color w:val="000000" w:themeColor="text1"/>
        </w:rPr>
        <w:t>FSMO role transfers</w:t>
      </w:r>
      <w:r>
        <w:rPr>
          <w:rFonts w:ascii="Cambria" w:hAnsi="Cambria"/>
          <w:color w:val="000000" w:themeColor="text1"/>
        </w:rPr>
        <w:t>.</w:t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Managed </w:t>
      </w:r>
      <w:r>
        <w:rPr>
          <w:rFonts w:ascii="Cambria" w:hAnsi="Cambria"/>
          <w:b/>
          <w:bCs/>
          <w:color w:val="000000" w:themeColor="text1"/>
        </w:rPr>
        <w:t>trust relationships</w:t>
      </w:r>
      <w:r>
        <w:rPr>
          <w:rFonts w:ascii="Cambria" w:hAnsi="Cambria"/>
          <w:color w:val="000000" w:themeColor="text1"/>
        </w:rPr>
        <w:t xml:space="preserve"> and delegated permissions.</w:t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Configured and administered </w:t>
      </w:r>
      <w:r>
        <w:rPr>
          <w:rFonts w:ascii="Cambria" w:hAnsi="Cambria"/>
          <w:b/>
          <w:bCs/>
          <w:color w:val="000000" w:themeColor="text1"/>
        </w:rPr>
        <w:t>DC, ADC, DNS, DHCP, FSRM, DFS</w:t>
      </w:r>
      <w:r>
        <w:rPr>
          <w:rFonts w:ascii="Cambria" w:hAnsi="Cambria"/>
          <w:color w:val="000000" w:themeColor="text1"/>
        </w:rPr>
        <w:t xml:space="preserve"> server roles.</w:t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Implemented and managed </w:t>
      </w:r>
      <w:r>
        <w:rPr>
          <w:rFonts w:ascii="Cambria" w:hAnsi="Cambria"/>
          <w:b/>
          <w:bCs/>
          <w:color w:val="000000" w:themeColor="text1"/>
        </w:rPr>
        <w:t>file servers (FSRM)</w:t>
      </w:r>
      <w:r>
        <w:rPr>
          <w:rFonts w:ascii="Cambria" w:hAnsi="Cambria"/>
          <w:color w:val="000000" w:themeColor="text1"/>
        </w:rPr>
        <w:t xml:space="preserve"> with automated shared folder mapping policies.</w:t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Planned, implemented, and troubleshot </w:t>
      </w:r>
      <w:r>
        <w:rPr>
          <w:rFonts w:ascii="Cambria" w:hAnsi="Cambria"/>
          <w:b/>
          <w:bCs/>
          <w:color w:val="000000" w:themeColor="text1"/>
        </w:rPr>
        <w:t>Group Policy strategies</w:t>
      </w:r>
      <w:r>
        <w:rPr>
          <w:rFonts w:ascii="Cambria" w:hAnsi="Cambria"/>
          <w:color w:val="000000" w:themeColor="text1"/>
        </w:rPr>
        <w:t xml:space="preserve"> across organizational units.</w:t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Created and enforced </w:t>
      </w:r>
      <w:r>
        <w:rPr>
          <w:rFonts w:ascii="Cambria" w:hAnsi="Cambria"/>
          <w:b/>
          <w:bCs/>
          <w:color w:val="000000" w:themeColor="text1"/>
        </w:rPr>
        <w:t>Group Policy Objects (GPOs)</w:t>
      </w:r>
      <w:r>
        <w:rPr>
          <w:rFonts w:ascii="Cambria" w:hAnsi="Cambria"/>
          <w:color w:val="000000" w:themeColor="text1"/>
        </w:rPr>
        <w:t xml:space="preserve"> as per process requirements.</w:t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Performed </w:t>
      </w:r>
      <w:r>
        <w:rPr>
          <w:rFonts w:ascii="Cambria" w:hAnsi="Cambria"/>
          <w:b/>
          <w:bCs/>
          <w:color w:val="000000" w:themeColor="text1"/>
        </w:rPr>
        <w:t>backup and restore of Group Policies</w:t>
      </w:r>
      <w:r>
        <w:rPr>
          <w:rFonts w:ascii="Cambria" w:hAnsi="Cambria"/>
          <w:color w:val="000000" w:themeColor="text1"/>
        </w:rPr>
        <w:t>.</w:t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Planned and executed </w:t>
      </w:r>
      <w:r>
        <w:rPr>
          <w:rFonts w:ascii="Cambria" w:hAnsi="Cambria"/>
          <w:b/>
          <w:bCs/>
          <w:color w:val="000000" w:themeColor="text1"/>
        </w:rPr>
        <w:t>domain migrations</w:t>
      </w:r>
      <w:r>
        <w:rPr>
          <w:rFonts w:ascii="Cambria" w:hAnsi="Cambria"/>
          <w:color w:val="000000" w:themeColor="text1"/>
        </w:rPr>
        <w:t xml:space="preserve"> with impact measurement.</w:t>
      </w:r>
    </w:p>
    <w:p>
      <w:pPr>
        <w:pStyle w:val="Normal"/>
        <w:widowControl w:val="false"/>
        <w:pBdr>
          <w:bottom w:val="threeDEngrave" w:sz="18" w:space="1" w:color="000000"/>
        </w:pBdr>
        <w:spacing w:before="96" w:after="0"/>
        <w:jc w:val="center"/>
        <w:rPr>
          <w:rFonts w:ascii="Cambria" w:hAnsi="Cambria"/>
          <w:b/>
          <w:b/>
          <w:color w:val="1F497D"/>
        </w:rPr>
      </w:pPr>
      <w:r>
        <w:rPr>
          <w:rFonts w:ascii="Cambria" w:hAnsi="Cambria"/>
          <w:b/>
          <w:color w:val="1F497D"/>
        </w:rPr>
        <w:t>CERTIFICATION</w:t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Bachelor of Computer Application (BCA- Batch 2011) from Barkatullah Univerty Bhopal, (M.P), India. </w:t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VCF Architect certification (Exam code: 2V0-13.25</w:t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Nutanix Certified Professional - Multicloud Infrastructure (NCP-MCI) 6.5</w:t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Microsoft Azure Solutions Architect Expert (AZ-300 &amp; AZ-304).</w:t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Cisco Certified Network Associate. (CCNA)Version 2 (200-120).</w:t>
      </w:r>
    </w:p>
    <w:p>
      <w:pPr>
        <w:pStyle w:val="Normal"/>
        <w:widowControl w:val="false"/>
        <w:pBdr>
          <w:bottom w:val="threeDEngrave" w:sz="18" w:space="1" w:color="000000"/>
        </w:pBdr>
        <w:spacing w:before="96" w:after="0"/>
        <w:jc w:val="center"/>
        <w:rPr>
          <w:rFonts w:ascii="Cambria" w:hAnsi="Cambria"/>
          <w:b/>
          <w:b/>
          <w:color w:val="1F497D"/>
        </w:rPr>
      </w:pPr>
      <w:r>
        <w:rPr>
          <w:rFonts w:ascii="Cambria" w:hAnsi="Cambria"/>
          <w:b/>
          <w:color w:val="1F497D"/>
        </w:rPr>
        <w:t xml:space="preserve">DECLARATION </w:t>
      </w:r>
    </w:p>
    <w:p>
      <w:pPr>
        <w:pStyle w:val="Normal"/>
        <w:tabs>
          <w:tab w:val="left" w:pos="7740" w:leader="none"/>
        </w:tabs>
        <w:jc w:val="both"/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tabs>
          <w:tab w:val="left" w:pos="7740" w:leader="none"/>
        </w:tabs>
        <w:jc w:val="both"/>
        <w:rPr>
          <w:rFonts w:ascii="Cambria" w:hAnsi="Cambria" w:cs="Arial"/>
        </w:rPr>
      </w:pPr>
      <w:r>
        <w:rPr>
          <w:rFonts w:cs="Arial" w:ascii="Cambria" w:hAnsi="Cambria"/>
        </w:rPr>
        <w:t>I hereby declare that the above-mentioned information is correct up to my knowledge and I bear the responsibility for the correctness of the above-mentioned.</w:t>
      </w:r>
    </w:p>
    <w:p>
      <w:pPr>
        <w:pStyle w:val="Normal"/>
        <w:tabs>
          <w:tab w:val="left" w:pos="7740" w:leader="none"/>
        </w:tabs>
        <w:jc w:val="both"/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rPr>
          <w:rFonts w:ascii="Cambria" w:hAnsi="Cambria" w:cs="Arial"/>
          <w:b/>
          <w:b/>
        </w:rPr>
      </w:pPr>
      <w:r>
        <w:rPr>
          <w:rFonts w:cs="Arial" w:ascii="Cambria" w:hAnsi="Cambria"/>
          <w:b/>
        </w:rPr>
        <w:t>Date: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Signature:</w:t>
      </w:r>
    </w:p>
    <w:p>
      <w:pPr>
        <w:pStyle w:val="Normal"/>
        <w:rPr/>
      </w:pPr>
      <w:r>
        <w:rPr>
          <w:rFonts w:cs="Arial" w:ascii="Cambria" w:hAnsi="Cambria"/>
          <w:b/>
        </w:rPr>
        <w:drawing>
          <wp:anchor behindDoc="0" distT="0" distB="0" distL="114300" distR="114300" simplePos="0" locked="0" layoutInCell="1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4605" cy="14605"/>
            <wp:effectExtent l="0" t="0" r="0" b="0"/>
            <wp:wrapNone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300" distR="114300" simplePos="0" locked="0" layoutInCell="1" allowOverlap="1" relativeHeight="6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>
          <w:rFonts w:cs="Arial" w:ascii="Cambria" w:hAnsi="Cambria"/>
          <w:b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(SUNEEL YADAV)</w:t>
      </w:r>
    </w:p>
    <w:sectPr>
      <w:headerReference w:type="default" r:id="rId2"/>
      <w:footerReference w:type="default" r:id="rId3"/>
      <w:type w:val="nextPage"/>
      <w:pgSz w:w="11906" w:h="16838"/>
      <w:pgMar w:left="1137" w:right="1153" w:header="721" w:top="865" w:footer="721" w:bottom="865" w:gutter="0"/>
      <w:pgBorders w:display="allPages" w:offsetFrom="text">
        <w:top w:val="threeDEngrave" w:sz="18" w:space="7" w:color="000000"/>
        <w:left w:val="threeDEngrave" w:sz="18" w:space="29" w:color="000000"/>
        <w:bottom w:val="threeDEmboss" w:sz="18" w:space="7" w:color="000000"/>
        <w:right w:val="threeDEmboss" w:sz="18" w:space="28" w:color="000000"/>
      </w:pgBorders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mc:AlternateContent>
        <mc:Choice Requires="wps">
          <w:drawing>
            <wp:anchor behindDoc="1" distT="0" distB="0" distL="114300" distR="114300" simplePos="0" locked="0" layoutInCell="1" allowOverlap="1" relativeHeight="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850" cy="267335"/>
              <wp:effectExtent l="0" t="0" r="0" b="0"/>
              <wp:wrapNone/>
              <wp:docPr id="4" name="MSIPCMe62b4fcaa6fe67d3f9ac426a" descr="{&quot;HashCode&quot;:-980460767,&quot;Height&quot;:841.0,&quot;Width&quot;:595.0,&quot;Placement&quot;:&quot;Header&quot;,&quot;Index&quot;:&quot;Primary&quot;,&quot;Section&quot;:1,&quot;Top&quot;:0.0,&quot;Left&quot;:0.0}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160" cy="26676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>
                              <w:rFonts w:ascii="Calibri" w:hAnsi="Calibri" w:cs="Calibri"/>
                              <w:color w:val="FF8C00"/>
                              <w:sz w:val="24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FF8C00"/>
                              <w:sz w:val="24"/>
                            </w:rPr>
                          </w:r>
                        </w:p>
                      </w:txbxContent>
                    </wps:txbx>
                    <wps:bodyPr rIns="254160" tIns="0" bIns="0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MSIPCMe62b4fcaa6fe67d3f9ac426a" stroked="f" style="position:absolute;margin-left:0pt;margin-top:15pt;width:595.4pt;height:20.95pt;mso-position-horizontal-relative:page;mso-position-vertical-relative:page">
              <w10:wrap type="none"/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jc w:val="right"/>
                      <w:rPr>
                        <w:rFonts w:ascii="Calibri" w:hAnsi="Calibri" w:cs="Calibri"/>
                        <w:color w:val="FF8C00"/>
                        <w:sz w:val="24"/>
                      </w:rPr>
                    </w:pPr>
                    <w:r>
                      <w:rPr>
                        <w:rFonts w:cs="Calibri" w:ascii="Calibri" w:hAnsi="Calibri"/>
                        <w:color w:val="FF8C00"/>
                        <w:sz w:val="24"/>
                      </w:rPr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  <w:sz w:val="17"/>
        <w:b/>
        <w:szCs w:val="17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28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55976"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0ac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716b9"/>
    <w:pPr>
      <w:spacing w:beforeAutospacing="1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716b9"/>
    <w:pPr>
      <w:spacing w:beforeAutospacing="1" w:afterAutospacing="1"/>
      <w:outlineLvl w:val="3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rsid w:val="00a55976"/>
    <w:rPr>
      <w:color w:val="0000FF"/>
      <w:u w:val="single"/>
    </w:rPr>
  </w:style>
  <w:style w:type="character" w:styleId="Annotationreference">
    <w:name w:val="annotation reference"/>
    <w:qFormat/>
    <w:rsid w:val="00a55976"/>
    <w:rPr>
      <w:sz w:val="16"/>
      <w:szCs w:val="16"/>
    </w:rPr>
  </w:style>
  <w:style w:type="character" w:styleId="Emphasis">
    <w:name w:val="Emphasis"/>
    <w:uiPriority w:val="20"/>
    <w:qFormat/>
    <w:rsid w:val="00a55976"/>
    <w:rPr>
      <w:i/>
      <w:iCs/>
    </w:rPr>
  </w:style>
  <w:style w:type="character" w:styleId="Appleconvertedspace" w:customStyle="1">
    <w:name w:val="apple-converted-space"/>
    <w:basedOn w:val="DefaultParagraphFont"/>
    <w:qFormat/>
    <w:rsid w:val="00a55976"/>
    <w:rPr/>
  </w:style>
  <w:style w:type="character" w:styleId="BodyTextChar" w:customStyle="1">
    <w:name w:val="Body Text Char"/>
    <w:link w:val="BodyText"/>
    <w:qFormat/>
    <w:rsid w:val="00a55976"/>
    <w:rPr>
      <w:kern w:val="2"/>
      <w:sz w:val="24"/>
      <w:szCs w:val="24"/>
      <w:lang w:eastAsia="ar-SA"/>
    </w:rPr>
  </w:style>
  <w:style w:type="character" w:styleId="Vmod" w:customStyle="1">
    <w:name w:val="vmod"/>
    <w:qFormat/>
    <w:rsid w:val="00a55976"/>
    <w:rPr/>
  </w:style>
  <w:style w:type="character" w:styleId="Formw5" w:customStyle="1">
    <w:name w:val="formw5"/>
    <w:qFormat/>
    <w:rsid w:val="00a55976"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8716b9"/>
    <w:rPr>
      <w:b/>
      <w:bCs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8716b9"/>
    <w:rPr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f10ac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f10ac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ListLabel1">
    <w:name w:val="ListLabel 1"/>
    <w:qFormat/>
    <w:rPr>
      <w:color w:val="000000"/>
      <w:sz w:val="17"/>
      <w:szCs w:val="17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color w:val="000000"/>
      <w:sz w:val="17"/>
      <w:szCs w:val="17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color w:val="000000"/>
      <w:sz w:val="17"/>
      <w:szCs w:val="17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ascii="Cambria" w:hAnsi="Cambria"/>
      <w:b/>
      <w:color w:val="000000"/>
      <w:sz w:val="17"/>
      <w:szCs w:val="17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Wingdings 2"/>
      <w:b/>
      <w:sz w:val="20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Wingdings"/>
    </w:rPr>
  </w:style>
  <w:style w:type="character" w:styleId="ListLabel26">
    <w:name w:val="ListLabel 26"/>
    <w:qFormat/>
    <w:rPr>
      <w:rFonts w:cs="Symbol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Wingdings"/>
    </w:rPr>
  </w:style>
  <w:style w:type="character" w:styleId="ListLabel29">
    <w:name w:val="ListLabel 29"/>
    <w:qFormat/>
    <w:rPr>
      <w:rFonts w:cs="Symbol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Wingdings"/>
    </w:rPr>
  </w:style>
  <w:style w:type="character" w:styleId="ListLabel32">
    <w:name w:val="ListLabel 32"/>
    <w:qFormat/>
    <w:rPr>
      <w:rFonts w:cs="Wingdings 2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Wingdings"/>
    </w:rPr>
  </w:style>
  <w:style w:type="character" w:styleId="ListLabel35">
    <w:name w:val="ListLabel 35"/>
    <w:qFormat/>
    <w:rPr>
      <w:rFonts w:cs="Symbol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Wingdings"/>
    </w:rPr>
  </w:style>
  <w:style w:type="character" w:styleId="ListLabel38">
    <w:name w:val="ListLabel 38"/>
    <w:qFormat/>
    <w:rPr>
      <w:rFonts w:cs="Symbol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Wingdings"/>
    </w:rPr>
  </w:style>
  <w:style w:type="character" w:styleId="ListLabel41">
    <w:name w:val="ListLabel 41"/>
    <w:qFormat/>
    <w:rPr>
      <w:rFonts w:cs="Symbol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>
      <w:rFonts w:cs="Courier New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rFonts w:cs="Courier New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ascii="Cambria" w:hAnsi="Cambria"/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rFonts w:cs="Courier New"/>
    </w:rPr>
  </w:style>
  <w:style w:type="character" w:styleId="ListLabel67">
    <w:name w:val="ListLabel 67"/>
    <w:qFormat/>
    <w:rPr>
      <w:rFonts w:cs="Courier New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Courier New"/>
    </w:rPr>
  </w:style>
  <w:style w:type="character" w:styleId="ListLabel70">
    <w:name w:val="ListLabel 70"/>
    <w:qFormat/>
    <w:rPr>
      <w:rFonts w:cs="Courier New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cs="Courier New"/>
    </w:rPr>
  </w:style>
  <w:style w:type="character" w:styleId="ListLabel73">
    <w:name w:val="ListLabel 73"/>
    <w:qFormat/>
    <w:rPr>
      <w:rFonts w:cs="Courier New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sz w:val="20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sz w:val="20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sz w:val="20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sz w:val="20"/>
    </w:rPr>
  </w:style>
  <w:style w:type="character" w:styleId="ListLabel109">
    <w:name w:val="ListLabel 109"/>
    <w:qFormat/>
    <w:rPr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sz w:val="20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sz w:val="20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ListLabel134">
    <w:name w:val="ListLabel 134"/>
    <w:qFormat/>
    <w:rPr>
      <w:sz w:val="20"/>
    </w:rPr>
  </w:style>
  <w:style w:type="character" w:styleId="ListLabel135">
    <w:name w:val="ListLabel 135"/>
    <w:qFormat/>
    <w:rPr>
      <w:sz w:val="20"/>
    </w:rPr>
  </w:style>
  <w:style w:type="character" w:styleId="ListLabel136">
    <w:name w:val="ListLabel 136"/>
    <w:qFormat/>
    <w:rPr>
      <w:sz w:val="20"/>
    </w:rPr>
  </w:style>
  <w:style w:type="character" w:styleId="ListLabel137">
    <w:name w:val="ListLabel 137"/>
    <w:qFormat/>
    <w:rPr>
      <w:sz w:val="20"/>
    </w:rPr>
  </w:style>
  <w:style w:type="character" w:styleId="ListLabel138">
    <w:name w:val="ListLabel 138"/>
    <w:qFormat/>
    <w:rPr>
      <w:sz w:val="20"/>
    </w:rPr>
  </w:style>
  <w:style w:type="character" w:styleId="ListLabel139">
    <w:name w:val="ListLabel 139"/>
    <w:qFormat/>
    <w:rPr>
      <w:sz w:val="20"/>
    </w:rPr>
  </w:style>
  <w:style w:type="character" w:styleId="ListLabel140">
    <w:name w:val="ListLabel 140"/>
    <w:qFormat/>
    <w:rPr>
      <w:sz w:val="20"/>
    </w:rPr>
  </w:style>
  <w:style w:type="character" w:styleId="ListLabel141">
    <w:name w:val="ListLabel 141"/>
    <w:qFormat/>
    <w:rPr>
      <w:sz w:val="20"/>
    </w:rPr>
  </w:style>
  <w:style w:type="character" w:styleId="ListLabel142">
    <w:name w:val="ListLabel 142"/>
    <w:qFormat/>
    <w:rPr>
      <w:sz w:val="20"/>
    </w:rPr>
  </w:style>
  <w:style w:type="character" w:styleId="ListLabel143">
    <w:name w:val="ListLabel 143"/>
    <w:qFormat/>
    <w:rPr>
      <w:sz w:val="20"/>
    </w:rPr>
  </w:style>
  <w:style w:type="character" w:styleId="ListLabel144">
    <w:name w:val="ListLabel 144"/>
    <w:qFormat/>
    <w:rPr>
      <w:sz w:val="20"/>
    </w:rPr>
  </w:style>
  <w:style w:type="character" w:styleId="ListLabel145">
    <w:name w:val="ListLabel 145"/>
    <w:qFormat/>
    <w:rPr>
      <w:sz w:val="20"/>
    </w:rPr>
  </w:style>
  <w:style w:type="character" w:styleId="ListLabel146">
    <w:name w:val="ListLabel 146"/>
    <w:qFormat/>
    <w:rPr>
      <w:sz w:val="20"/>
    </w:rPr>
  </w:style>
  <w:style w:type="character" w:styleId="ListLabel147">
    <w:name w:val="ListLabel 147"/>
    <w:qFormat/>
    <w:rPr>
      <w:sz w:val="20"/>
    </w:rPr>
  </w:style>
  <w:style w:type="character" w:styleId="ListLabel148">
    <w:name w:val="ListLabel 148"/>
    <w:qFormat/>
    <w:rPr>
      <w:sz w:val="20"/>
    </w:rPr>
  </w:style>
  <w:style w:type="character" w:styleId="ListLabel149">
    <w:name w:val="ListLabel 149"/>
    <w:qFormat/>
    <w:rPr>
      <w:sz w:val="20"/>
    </w:rPr>
  </w:style>
  <w:style w:type="character" w:styleId="ListLabel150">
    <w:name w:val="ListLabel 150"/>
    <w:qFormat/>
    <w:rPr>
      <w:sz w:val="20"/>
    </w:rPr>
  </w:style>
  <w:style w:type="character" w:styleId="ListLabel151">
    <w:name w:val="ListLabel 151"/>
    <w:qFormat/>
    <w:rPr>
      <w:sz w:val="20"/>
    </w:rPr>
  </w:style>
  <w:style w:type="character" w:styleId="ListLabel152">
    <w:name w:val="ListLabel 152"/>
    <w:qFormat/>
    <w:rPr>
      <w:sz w:val="20"/>
    </w:rPr>
  </w:style>
  <w:style w:type="character" w:styleId="ListLabel153">
    <w:name w:val="ListLabel 153"/>
    <w:qFormat/>
    <w:rPr>
      <w:sz w:val="20"/>
    </w:rPr>
  </w:style>
  <w:style w:type="character" w:styleId="ListLabel154">
    <w:name w:val="ListLabel 154"/>
    <w:qFormat/>
    <w:rPr>
      <w:sz w:val="20"/>
    </w:rPr>
  </w:style>
  <w:style w:type="character" w:styleId="ListLabel155">
    <w:name w:val="ListLabel 155"/>
    <w:qFormat/>
    <w:rPr>
      <w:sz w:val="20"/>
    </w:rPr>
  </w:style>
  <w:style w:type="character" w:styleId="ListLabel156">
    <w:name w:val="ListLabel 156"/>
    <w:qFormat/>
    <w:rPr>
      <w:sz w:val="20"/>
    </w:rPr>
  </w:style>
  <w:style w:type="character" w:styleId="ListLabel157">
    <w:name w:val="ListLabel 157"/>
    <w:qFormat/>
    <w:rPr>
      <w:sz w:val="20"/>
    </w:rPr>
  </w:style>
  <w:style w:type="character" w:styleId="ListLabel158">
    <w:name w:val="ListLabel 158"/>
    <w:qFormat/>
    <w:rPr>
      <w:sz w:val="20"/>
    </w:rPr>
  </w:style>
  <w:style w:type="character" w:styleId="ListLabel159">
    <w:name w:val="ListLabel 159"/>
    <w:qFormat/>
    <w:rPr>
      <w:sz w:val="20"/>
    </w:rPr>
  </w:style>
  <w:style w:type="character" w:styleId="ListLabel160">
    <w:name w:val="ListLabel 160"/>
    <w:qFormat/>
    <w:rPr>
      <w:sz w:val="20"/>
    </w:rPr>
  </w:style>
  <w:style w:type="character" w:styleId="ListLabel161">
    <w:name w:val="ListLabel 161"/>
    <w:qFormat/>
    <w:rPr>
      <w:sz w:val="20"/>
    </w:rPr>
  </w:style>
  <w:style w:type="character" w:styleId="ListLabel162">
    <w:name w:val="ListLabel 162"/>
    <w:qFormat/>
    <w:rPr>
      <w:sz w:val="20"/>
    </w:rPr>
  </w:style>
  <w:style w:type="character" w:styleId="ListLabel163">
    <w:name w:val="ListLabel 163"/>
    <w:qFormat/>
    <w:rPr>
      <w:sz w:val="20"/>
    </w:rPr>
  </w:style>
  <w:style w:type="character" w:styleId="ListLabel164">
    <w:name w:val="ListLabel 164"/>
    <w:qFormat/>
    <w:rPr>
      <w:sz w:val="20"/>
    </w:rPr>
  </w:style>
  <w:style w:type="character" w:styleId="ListLabel165">
    <w:name w:val="ListLabel 165"/>
    <w:qFormat/>
    <w:rPr>
      <w:sz w:val="20"/>
    </w:rPr>
  </w:style>
  <w:style w:type="character" w:styleId="ListLabel166">
    <w:name w:val="ListLabel 166"/>
    <w:qFormat/>
    <w:rPr>
      <w:sz w:val="20"/>
    </w:rPr>
  </w:style>
  <w:style w:type="character" w:styleId="ListLabel167">
    <w:name w:val="ListLabel 167"/>
    <w:qFormat/>
    <w:rPr>
      <w:sz w:val="20"/>
    </w:rPr>
  </w:style>
  <w:style w:type="character" w:styleId="ListLabel168">
    <w:name w:val="ListLabel 168"/>
    <w:qFormat/>
    <w:rPr>
      <w:sz w:val="20"/>
    </w:rPr>
  </w:style>
  <w:style w:type="character" w:styleId="ListLabel169">
    <w:name w:val="ListLabel 169"/>
    <w:qFormat/>
    <w:rPr>
      <w:sz w:val="20"/>
    </w:rPr>
  </w:style>
  <w:style w:type="character" w:styleId="ListLabel170">
    <w:name w:val="ListLabel 170"/>
    <w:qFormat/>
    <w:rPr>
      <w:sz w:val="20"/>
    </w:rPr>
  </w:style>
  <w:style w:type="character" w:styleId="ListLabel171">
    <w:name w:val="ListLabel 171"/>
    <w:qFormat/>
    <w:rPr>
      <w:sz w:val="20"/>
    </w:rPr>
  </w:style>
  <w:style w:type="character" w:styleId="ListLabel172">
    <w:name w:val="ListLabel 172"/>
    <w:qFormat/>
    <w:rPr>
      <w:sz w:val="20"/>
    </w:rPr>
  </w:style>
  <w:style w:type="character" w:styleId="ListLabel173">
    <w:name w:val="ListLabel 173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rsid w:val="00a55976"/>
    <w:pPr>
      <w:widowControl w:val="false"/>
      <w:suppressAutoHyphens w:val="true"/>
      <w:overflowPunct w:val="true"/>
      <w:spacing w:before="0" w:after="120"/>
    </w:pPr>
    <w:rPr>
      <w:kern w:val="2"/>
      <w:sz w:val="24"/>
      <w:szCs w:val="24"/>
      <w:lang w:eastAsia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rsid w:val="00a55976"/>
    <w:pPr>
      <w:tabs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rsid w:val="00a55976"/>
    <w:pPr>
      <w:tabs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rsid w:val="00a55976"/>
    <w:pPr>
      <w:spacing w:lineRule="auto" w:line="276" w:before="0" w:after="200"/>
      <w:ind w:left="720" w:hanging="0"/>
      <w:contextualSpacing/>
    </w:pPr>
    <w:rPr>
      <w:rFonts w:ascii="Verdana" w:hAnsi="Verdana" w:eastAsia="Calibri"/>
      <w:color w:val="FFFFFF"/>
      <w:lang w:val="en-GB"/>
    </w:rPr>
  </w:style>
  <w:style w:type="paragraph" w:styleId="Annotationtext">
    <w:name w:val="annotation text"/>
    <w:basedOn w:val="Normal"/>
    <w:qFormat/>
    <w:rsid w:val="00a55976"/>
    <w:pPr/>
    <w:rPr/>
  </w:style>
  <w:style w:type="paragraph" w:styleId="Annotationsubject">
    <w:name w:val="annotation subject"/>
    <w:basedOn w:val="Annotationtext"/>
    <w:qFormat/>
    <w:rsid w:val="00a55976"/>
    <w:pPr/>
    <w:rPr>
      <w:b/>
      <w:bCs/>
    </w:rPr>
  </w:style>
  <w:style w:type="paragraph" w:styleId="BalloonText">
    <w:name w:val="Balloon Text"/>
    <w:basedOn w:val="Normal"/>
    <w:qFormat/>
    <w:rsid w:val="00a55976"/>
    <w:pPr/>
    <w:rPr>
      <w:rFonts w:ascii="Tahoma" w:hAnsi="Tahoma" w:cs="Tahoma"/>
      <w:sz w:val="16"/>
      <w:szCs w:val="16"/>
    </w:rPr>
  </w:style>
  <w:style w:type="paragraph" w:styleId="CharCharCharCharCharCharChar" w:customStyle="1">
    <w:name w:val="Char Char Char Char Char Char Char"/>
    <w:basedOn w:val="Normal"/>
    <w:qFormat/>
    <w:rsid w:val="00a55976"/>
    <w:pPr>
      <w:spacing w:lineRule="exact" w:line="240" w:before="60" w:after="160"/>
    </w:pPr>
    <w:rPr>
      <w:rFonts w:ascii="Verdana" w:hAnsi="Verdana" w:cs="Arial"/>
      <w:color w:val="FF00FF"/>
      <w:szCs w:val="24"/>
      <w:lang w:val="en-GB"/>
    </w:rPr>
  </w:style>
  <w:style w:type="paragraph" w:styleId="Default" w:customStyle="1">
    <w:name w:val="Default"/>
    <w:qFormat/>
    <w:rsid w:val="00a55976"/>
    <w:pPr>
      <w:widowControl/>
      <w:bidi w:val="0"/>
      <w:jc w:val="left"/>
    </w:pPr>
    <w:rPr>
      <w:rFonts w:eastAsia="Calibri" w:ascii="Times New Roman" w:hAnsi="Times New Roman" w:cs="Times New Roman"/>
      <w:color w:val="000000"/>
      <w:kern w:val="0"/>
      <w:sz w:val="24"/>
      <w:szCs w:val="24"/>
      <w:lang w:val="en-US" w:eastAsia="en-US" w:bidi="ar-SA"/>
    </w:rPr>
  </w:style>
  <w:style w:type="paragraph" w:styleId="M6408946195737302470msoplaintext" w:customStyle="1">
    <w:name w:val="m_-6408946195737302470msoplaintext"/>
    <w:basedOn w:val="Normal"/>
    <w:qFormat/>
    <w:rsid w:val="00a55976"/>
    <w:pPr>
      <w:spacing w:beforeAutospacing="1" w:afterAutospacing="1"/>
    </w:pPr>
    <w:rPr>
      <w:sz w:val="24"/>
      <w:szCs w:val="24"/>
    </w:rPr>
  </w:style>
  <w:style w:type="paragraph" w:styleId="ListParagraph1" w:customStyle="1">
    <w:name w:val="List Paragraph1"/>
    <w:basedOn w:val="Normal"/>
    <w:uiPriority w:val="34"/>
    <w:qFormat/>
    <w:rsid w:val="002a2549"/>
    <w:pPr>
      <w:spacing w:lineRule="auto" w:line="254" w:before="0" w:after="160"/>
      <w:ind w:left="720" w:hanging="0"/>
      <w:contextualSpacing/>
    </w:pPr>
    <w:rPr/>
  </w:style>
  <w:style w:type="paragraph" w:styleId="NoSpacing11" w:customStyle="1">
    <w:name w:val="No Spacing11"/>
    <w:uiPriority w:val="1"/>
    <w:qFormat/>
    <w:rsid w:val="00760a22"/>
    <w:pPr>
      <w:widowControl/>
      <w:bidi w:val="0"/>
      <w:spacing w:lineRule="auto" w:line="254" w:before="0" w:after="16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NormalWeb">
    <w:name w:val="Normal (Web)"/>
    <w:basedOn w:val="Normal"/>
    <w:uiPriority w:val="99"/>
    <w:unhideWhenUsed/>
    <w:qFormat/>
    <w:rsid w:val="00b16394"/>
    <w:pPr>
      <w:spacing w:beforeAutospacing="1" w:afterAutospacing="1"/>
    </w:pPr>
    <w:rPr>
      <w:sz w:val="24"/>
      <w:szCs w:val="24"/>
      <w:lang w:val="en-IN" w:eastAsia="en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4134d"/>
    <w:rPr>
      <w:rFonts w:eastAsiaTheme="minorHAnsi" w:cstheme="minorBidi"/>
      <w:lang w:val="en-IN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LibreOffice/6.0.7.3$Linux_X86_64 LibreOffice_project/00m0$Build-3</Application>
  <Pages>4</Pages>
  <Words>1007</Words>
  <Characters>6300</Characters>
  <CharactersWithSpaces>7289</CharactersWithSpaces>
  <Paragraphs>76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2026-06-03T17:40:00Z</dcterms:created>
  <dc:creator>f1029</dc:creator>
  <dc:description/>
  <dc:language>en-IN</dc:language>
  <cp:lastModifiedBy>Hari babu</cp:lastModifiedBy>
  <cp:lastPrinted>2018-06-25T08:29:00Z</cp:lastPrinted>
  <dcterms:modified xsi:type="dcterms:W3CDTF">2026-06-03T17:40:00Z</dcterms:modified>
  <cp:revision>2</cp:revision>
  <dc:subject/>
  <dc:title>SWARUP MUKHERJEE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Approval Level">
    <vt:lpwstr/>
  </property>
  <property fmtid="{D5CDD505-2E9C-101B-9397-08002B2CF9AE}" pid="4" name="Assigned To">
    <vt:lpwstr/>
  </property>
  <property fmtid="{D5CDD505-2E9C-101B-9397-08002B2CF9AE}" pid="5" name="AuditorName">
    <vt:lpwstr>Seema Gupta</vt:lpwstr>
  </property>
  <property fmtid="{D5CDD505-2E9C-101B-9397-08002B2CF9AE}" pid="6" name="Company">
    <vt:lpwstr>Grizli777</vt:lpwstr>
  </property>
  <property fmtid="{D5CDD505-2E9C-101B-9397-08002B2CF9AE}" pid="7" name="CorrespondenceListID">
    <vt:lpwstr>610562.000000000</vt:lpwstr>
  </property>
  <property fmtid="{D5CDD505-2E9C-101B-9397-08002B2CF9AE}" pid="8" name="DeveloperAllocationDateTime">
    <vt:lpwstr>2011-10-25T12:12:17Z</vt:lpwstr>
  </property>
  <property fmtid="{D5CDD505-2E9C-101B-9397-08002B2CF9AE}" pid="9" name="DeveloperName">
    <vt:lpwstr>Meena Kamra</vt:lpwstr>
  </property>
  <property fmtid="{D5CDD505-2E9C-101B-9397-08002B2CF9AE}" pid="10" name="DeveloperVersionID">
    <vt:lpwstr>5632.00000000000</vt:lpwstr>
  </property>
  <property fmtid="{D5CDD505-2E9C-101B-9397-08002B2CF9AE}" pid="11" name="DocSecurity">
    <vt:i4>0</vt:i4>
  </property>
  <property fmtid="{D5CDD505-2E9C-101B-9397-08002B2CF9AE}" pid="12" name="ExecutionStage">
    <vt:lpwstr>Auditing Done</vt:lpwstr>
  </property>
  <property fmtid="{D5CDD505-2E9C-101B-9397-08002B2CF9AE}" pid="13" name="ExperienceLevel">
    <vt:lpwstr>1.00000000000000</vt:lpwstr>
  </property>
  <property fmtid="{D5CDD505-2E9C-101B-9397-08002B2CF9AE}" pid="14" name="FlaggedParentExecutionIDs">
    <vt:lpwstr/>
  </property>
  <property fmtid="{D5CDD505-2E9C-101B-9397-08002B2CF9AE}" pid="15" name="Format">
    <vt:lpwstr>Chronological</vt:lpwstr>
  </property>
  <property fmtid="{D5CDD505-2E9C-101B-9397-08002B2CF9AE}" pid="16" name="FunctionalArea">
    <vt:lpwstr>Site Engineering / Project Management;</vt:lpwstr>
  </property>
  <property fmtid="{D5CDD505-2E9C-101B-9397-08002B2CF9AE}" pid="17" name="HyperlinksChanged">
    <vt:bool>0</vt:bool>
  </property>
  <property fmtid="{D5CDD505-2E9C-101B-9397-08002B2CF9AE}" pid="18" name="IsFlagDraftRequestRejected">
    <vt:lpwstr>False</vt:lpwstr>
  </property>
  <property fmtid="{D5CDD505-2E9C-101B-9397-08002B2CF9AE}" pid="19" name="IsRUA">
    <vt:lpwstr>False</vt:lpwstr>
  </property>
  <property fmtid="{D5CDD505-2E9C-101B-9397-08002B2CF9AE}" pid="20" name="IsReFlashed">
    <vt:lpwstr>False</vt:lpwstr>
  </property>
  <property fmtid="{D5CDD505-2E9C-101B-9397-08002B2CF9AE}" pid="21" name="LinksUpToDate">
    <vt:bool>0</vt:bool>
  </property>
  <property fmtid="{D5CDD505-2E9C-101B-9397-08002B2CF9AE}" pid="22" name="MSIP_Label_d2db9220-a04a-4f06-aab9-80cbe5287fb3_ActionId">
    <vt:lpwstr>d24ad8fc-6d51-4d00-a455-cb711d3eb864</vt:lpwstr>
  </property>
  <property fmtid="{D5CDD505-2E9C-101B-9397-08002B2CF9AE}" pid="23" name="MSIP_Label_d2db9220-a04a-4f06-aab9-80cbe5287fb3_Application">
    <vt:lpwstr>Microsoft Azure Information Protection</vt:lpwstr>
  </property>
  <property fmtid="{D5CDD505-2E9C-101B-9397-08002B2CF9AE}" pid="24" name="MSIP_Label_d2db9220-a04a-4f06-aab9-80cbe5287fb3_Enabled">
    <vt:lpwstr>True</vt:lpwstr>
  </property>
  <property fmtid="{D5CDD505-2E9C-101B-9397-08002B2CF9AE}" pid="25" name="MSIP_Label_d2db9220-a04a-4f06-aab9-80cbe5287fb3_Extended_MSFT_Method">
    <vt:lpwstr>Automatic</vt:lpwstr>
  </property>
  <property fmtid="{D5CDD505-2E9C-101B-9397-08002B2CF9AE}" pid="26" name="MSIP_Label_d2db9220-a04a-4f06-aab9-80cbe5287fb3_Name">
    <vt:lpwstr>Restricted</vt:lpwstr>
  </property>
  <property fmtid="{D5CDD505-2E9C-101B-9397-08002B2CF9AE}" pid="27" name="MSIP_Label_d2db9220-a04a-4f06-aab9-80cbe5287fb3_Owner">
    <vt:lpwstr>suneel.yadav@amadeus.com</vt:lpwstr>
  </property>
  <property fmtid="{D5CDD505-2E9C-101B-9397-08002B2CF9AE}" pid="28" name="MSIP_Label_d2db9220-a04a-4f06-aab9-80cbe5287fb3_SetDate">
    <vt:lpwstr>2019-08-24T07:32:12.3371864Z</vt:lpwstr>
  </property>
  <property fmtid="{D5CDD505-2E9C-101B-9397-08002B2CF9AE}" pid="29" name="MSIP_Label_d2db9220-a04a-4f06-aab9-80cbe5287fb3_SiteId">
    <vt:lpwstr>b3f4f7c2-72ce-4192-aba4-d6c7719b5766</vt:lpwstr>
  </property>
  <property fmtid="{D5CDD505-2E9C-101B-9397-08002B2CF9AE}" pid="30" name="Order">
    <vt:lpwstr>24977700.0000000</vt:lpwstr>
  </property>
  <property fmtid="{D5CDD505-2E9C-101B-9397-08002B2CF9AE}" pid="31" name="OriginalDeveloperID">
    <vt:lpwstr>69b78f4c-4215-4f87-81d2-3dbacdc32cc8</vt:lpwstr>
  </property>
  <property fmtid="{D5CDD505-2E9C-101B-9397-08002B2CF9AE}" pid="32" name="OriginalDocumentVersionID">
    <vt:lpwstr>4096.00000000000</vt:lpwstr>
  </property>
  <property fmtid="{D5CDD505-2E9C-101B-9397-08002B2CF9AE}" pid="33" name="QABonusScore">
    <vt:lpwstr>0</vt:lpwstr>
  </property>
  <property fmtid="{D5CDD505-2E9C-101B-9397-08002B2CF9AE}" pid="34" name="QADateTime">
    <vt:lpwstr>2011-10-31T08:23:09Z</vt:lpwstr>
  </property>
  <property fmtid="{D5CDD505-2E9C-101B-9397-08002B2CF9AE}" pid="35" name="QAFactualFiguresScore">
    <vt:lpwstr>0</vt:lpwstr>
  </property>
  <property fmtid="{D5CDD505-2E9C-101B-9397-08002B2CF9AE}" pid="36" name="QAFocusAreaScore">
    <vt:lpwstr>0</vt:lpwstr>
  </property>
  <property fmtid="{D5CDD505-2E9C-101B-9397-08002B2CF9AE}" pid="37" name="QAFormattingScore">
    <vt:lpwstr>0</vt:lpwstr>
  </property>
  <property fmtid="{D5CDD505-2E9C-101B-9397-08002B2CF9AE}" pid="38" name="QAGrammarScore">
    <vt:lpwstr>0</vt:lpwstr>
  </property>
  <property fmtid="{D5CDD505-2E9C-101B-9397-08002B2CF9AE}" pid="39" name="QAQualityScore">
    <vt:lpwstr>0</vt:lpwstr>
  </property>
  <property fmtid="{D5CDD505-2E9C-101B-9397-08002B2CF9AE}" pid="40" name="Rating">
    <vt:lpwstr>1</vt:lpwstr>
  </property>
  <property fmtid="{D5CDD505-2E9C-101B-9397-08002B2CF9AE}" pid="41" name="ReAssignedRUAActorID">
    <vt:lpwstr/>
  </property>
  <property fmtid="{D5CDD505-2E9C-101B-9397-08002B2CF9AE}" pid="42" name="ReFlashParentExecutionIDs">
    <vt:lpwstr/>
  </property>
  <property fmtid="{D5CDD505-2E9C-101B-9397-08002B2CF9AE}" pid="43" name="ResumeDevelopmentListID">
    <vt:lpwstr>249777.000000000</vt:lpwstr>
  </property>
  <property fmtid="{D5CDD505-2E9C-101B-9397-08002B2CF9AE}" pid="44" name="ScaleCrop">
    <vt:bool>0</vt:bool>
  </property>
  <property fmtid="{D5CDD505-2E9C-101B-9397-08002B2CF9AE}" pid="45" name="SendMail">
    <vt:lpwstr>True</vt:lpwstr>
  </property>
  <property fmtid="{D5CDD505-2E9C-101B-9397-08002B2CF9AE}" pid="46" name="Sensitivity">
    <vt:lpwstr>Restricted</vt:lpwstr>
  </property>
  <property fmtid="{D5CDD505-2E9C-101B-9397-08002B2CF9AE}" pid="47" name="ShareDoc">
    <vt:bool>0</vt:bool>
  </property>
  <property fmtid="{D5CDD505-2E9C-101B-9397-08002B2CF9AE}" pid="48" name="SuspendedBy">
    <vt:lpwstr/>
  </property>
  <property fmtid="{D5CDD505-2E9C-101B-9397-08002B2CF9AE}" pid="49" name="SuspendedReason">
    <vt:lpwstr/>
  </property>
  <property fmtid="{D5CDD505-2E9C-101B-9397-08002B2CF9AE}" pid="50" name="SuspendedTag">
    <vt:lpwstr/>
  </property>
  <property fmtid="{D5CDD505-2E9C-101B-9397-08002B2CF9AE}" pid="51" name="TemplateUrl">
    <vt:lpwstr/>
  </property>
  <property fmtid="{D5CDD505-2E9C-101B-9397-08002B2CF9AE}" pid="52" name="VisibleOnSMSPage">
    <vt:lpwstr>True</vt:lpwstr>
  </property>
  <property fmtid="{D5CDD505-2E9C-101B-9397-08002B2CF9AE}" pid="53" name="_DocHome">
    <vt:i4>-252627244</vt:i4>
  </property>
  <property fmtid="{D5CDD505-2E9C-101B-9397-08002B2CF9AE}" pid="54" name="_SourceUrl">
    <vt:lpwstr/>
  </property>
  <property fmtid="{D5CDD505-2E9C-101B-9397-08002B2CF9AE}" pid="55" name="xd_ProgID">
    <vt:lpwstr/>
  </property>
</Properties>
</file>