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60"/>
        <w:jc w:val="center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VISHAL OZA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b/>
          <w:bCs/>
          <w:color w:val="0D6E6E"/>
          <w:sz w:val="26"/>
          <w:szCs w:val="26"/>
        </w:rPr>
        <w:t>Senior Director – Enterprise AI, Cloud &amp; Digital Transformation</w:t>
      </w:r>
    </w:p>
    <w:p>
      <w:pPr>
        <w:spacing w:before="30" w:after="100"/>
        <w:jc w:val="center"/>
      </w:pPr>
      <w:r>
        <w:rPr>
          <w:rFonts w:ascii="Calibri" w:eastAsia="Calibri" w:hAnsi="Calibri" w:cs="Calibri"/>
          <w:color w:val="888888"/>
          <w:sz w:val="19"/>
          <w:szCs w:val="19"/>
        </w:rPr>
        <w:t>Mumbai, India  |  vishal.oza82@gmail.com  |  +91-9819080951</w:t>
      </w:r>
    </w:p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Executive Profile</w:t>
      </w:r>
    </w:p>
    <w:p>
      <w:pPr>
        <w:spacing w:before="80" w:after="80"/>
        <w:jc w:val="both"/>
      </w:pPr>
      <w:r>
        <w:rPr>
          <w:rFonts w:ascii="Calibri" w:eastAsia="Calibri" w:hAnsi="Calibri" w:cs="Calibri"/>
          <w:color w:val="555555"/>
          <w:sz w:val="19"/>
          <w:szCs w:val="19"/>
        </w:rPr>
        <w:t>A business-outcome driven technology leader with 20+ years of progressive experience spanning enterprise AI strategy, cloud transformation, solution architecture, and senior account stewardship. Equally at home designing a multi-agent AI architecture with an engineering team and presenting a technology transformation roadmap to a C-suite audience. Has delivered complex end-to-end programmes across media, financial services, insurance, and AdTech — consistently growing account scope and generating measurable returns. Known for building high-performing delivery teams, establishing AI and cloud practices from the ground up, and translating technology investment into language that resonates with boards and business sponsors.</w:t>
      </w:r>
    </w:p>
    <w:p>
      <w:pPr>
        <w:spacing w:before="0" w:after="80"/>
        <w:jc w:val="both"/>
      </w:pPr>
      <w:r>
        <w:rPr>
          <w:rFonts w:ascii="Calibri" w:eastAsia="Calibri" w:hAnsi="Calibri" w:cs="Calibri"/>
          <w:color w:val="555555"/>
          <w:sz w:val="19"/>
          <w:szCs w:val="19"/>
        </w:rPr>
        <w:t>Deep hands-on expertise in Azure AI Foundry, Agentic RAG, Semantic Kernel, LangChain/LangGraph, .NET Core Microservices, and Cloud-Native modernisation on Azure and AWS. Holds an M.Tech in Data Science &amp; AI from BITS Pilani. SAFe Certified Scrum Master | Certified Scrum Master (Scrum Alliance).</w:t>
      </w:r>
    </w:p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Areas of Expertise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Executive Leadership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Account &amp; Portfolio P&amp;L, Practice Building, Pre-Sales &amp; RFP Leadership, C-suite Advisory, Governance &amp; Risk Management, Team Scaling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AI / GenAI Strategy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GenAI Roadmap Design, Agentic AI &amp; Multi-Agent Orchestration, Responsible AI Governance, AI Value Realisation, LLM Fine-Tuning, Cost-Benefit Modelling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Enterprise &amp; Solution Architecture, Cloud-Native Design (Azure / AWS), Microservices, Event-Driven Architecture, API Management, Domain-Driven Design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Delivery &amp; Operations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SAFe Agile Programme Delivery, DevSecOps, SRE &amp; Observability, Release Governance, Offshore Delivery Management, Change Management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Business Development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Account Mining &amp; Growth, GTM Positioning, Proposal Leadership, Client Relationship Management, PoC-to-Production Innovation, Stakeholder Engagement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Technology Stack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Azure AI Foundry, Copilot Studio, Semantic Kernel, LangChain/LangGraph, OpenAI GPT-4o/5, .NET Core 6-8, Python/FastAPI, TypeScript, AKS, AWS, Datadog</w:t>
            </w:r>
          </w:p>
        </w:tc>
      </w:tr>
    </w:tbl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Career Impact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2340" w:type="dxa"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EBF2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5C"/>
                <w:sz w:val="28"/>
                <w:szCs w:val="28"/>
              </w:rPr>
              <w:t>750+ hrs/month</w:t>
            </w:r>
          </w:p>
          <w:p>
            <w:pPr>
              <w:jc w:val="center"/>
            </w:pPr>
            <w:r>
              <w:rPr>
                <w:rFonts w:ascii="Calibri" w:eastAsia="Calibri" w:hAnsi="Calibri" w:cs="Calibri"/>
                <w:color w:val="0D6E6E"/>
                <w:sz w:val="17"/>
                <w:szCs w:val="17"/>
              </w:rPr>
              <w:t>automated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EBF2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5C"/>
                <w:sz w:val="28"/>
                <w:szCs w:val="28"/>
              </w:rPr>
              <w:t>35–40%</w:t>
            </w:r>
          </w:p>
          <w:p>
            <w:pPr>
              <w:jc w:val="center"/>
            </w:pPr>
            <w:r>
              <w:rPr>
                <w:rFonts w:ascii="Calibri" w:eastAsia="Calibri" w:hAnsi="Calibri" w:cs="Calibri"/>
                <w:color w:val="0D6E6E"/>
                <w:sz w:val="17"/>
                <w:szCs w:val="17"/>
              </w:rPr>
              <w:t>cost reduction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EBF2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5C"/>
                <w:sz w:val="28"/>
                <w:szCs w:val="28"/>
              </w:rPr>
              <w:t>$180K+</w:t>
            </w:r>
          </w:p>
          <w:p>
            <w:pPr>
              <w:jc w:val="center"/>
            </w:pPr>
            <w:r>
              <w:rPr>
                <w:rFonts w:ascii="Calibri" w:eastAsia="Calibri" w:hAnsi="Calibri" w:cs="Calibri"/>
                <w:color w:val="0D6E6E"/>
                <w:sz w:val="17"/>
                <w:szCs w:val="17"/>
              </w:rPr>
              <w:t>annual savings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EBF2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5C"/>
                <w:sz w:val="28"/>
                <w:szCs w:val="28"/>
              </w:rPr>
              <w:t>20+ Years</w:t>
            </w:r>
          </w:p>
          <w:p>
            <w:pPr>
              <w:jc w:val="center"/>
            </w:pPr>
            <w:r>
              <w:rPr>
                <w:rFonts w:ascii="Calibri" w:eastAsia="Calibri" w:hAnsi="Calibri" w:cs="Calibri"/>
                <w:color w:val="0D6E6E"/>
                <w:sz w:val="17"/>
                <w:szCs w:val="17"/>
              </w:rPr>
              <w:t>progressive career</w:t>
            </w:r>
          </w:p>
        </w:tc>
      </w:tr>
    </w:tbl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Professional Experience</w:t>
      </w: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GenAI Practice Lead &amp; Senior Architect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LTIMindtree  |  Client: Paramount Global  |  Toronto, Canada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Nov 2025 – Apr 2026</w:t>
      </w:r>
    </w:p>
    <w:p>
      <w:pPr>
        <w:spacing w:before="0" w:after="6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Senior technical and delivery lead for Paramount's enterprise Agentic AI programme — accountable for architecture decisions, delivery governance, and client stakeholder alignment at Head-of-Technology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Scoped and led the design of an enterprise Agentic AI portal consolidating Rights Management, Legal, and HR functions; acted as account owner for programme governance and executive reporting to Paramount's CTO office.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Architected a multi-agent orchestration layer using Microsoft Agent Framework, Semantic Kernel, and Model Context Protocol (MCP), enabling autonomous decision-making across cross-functional workflows; reduced contract-review turnaround by ~60% — cited by the client as direct input to their 2026 AI investment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Designed stateful LangGraph reasoning pipelines (clause extraction → risk classification → approval routing) with LangChain tool-use abstractions integrating SharePoint, Jira, and contract APIs; instrumented with LangSmith observability, enabling the team to demonstrate deterministic agent behaviour to Legal compliance reviewers.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Established a Responsible AI evaluation framework (Azure AI Evaluation Studio) defining accuracy, safety, and groundedness thresholds that became the internal policy baseline for all subsequent agent deployments at Paramount.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Performed GPT-5 fine-tuning via Azure AI Studio, improving domain-specific contract-classification accuracy by 30% over zero-shot baseline — directly reducing human reviewer escalation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Mentored 6 engineers across architecture, prompt engineering, and agentic design; built team capability from onboarding to production-ready delivery in under 10 weeks.</w:t>
      </w:r>
    </w:p>
    <w:p>
      <w:pPr>
        <w:spacing w:before="80" w:after="0"/>
      </w:pP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Senior Solution Architect &amp; Account Technical Lead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LTIMindtree  |  Client: Microsoft Corporation  |  Toronto, Canada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Jan 2024 – Aug 2025</w:t>
      </w:r>
    </w:p>
    <w:p>
      <w:pPr>
        <w:spacing w:before="0" w:after="6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Primary technical authority and account delivery lead for Microsoft's Capacity Management platform — a strategic $2M+ engagement. Partnered with Microsoft Principal PMs and Director-level stakeholders to shape the AI transformation roadmap, manage scope, and ensure delivery quality across a team of 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Architected and delivered a GenAI-powered Capacity Management platform that automated quota-approval workflows for Microsoft's CM Extended team; eliminated 750+ hours/month of manual processing and generated $180K+ in annual labour savings — a business case presented to Microsoft's Senior VP as a benchmark AI use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Designed a RAG-based conversational AI assistant (Azure AI Foundry + Azure AI Search + GPT-4o) for onboarding new capacity resources; reduced onboarding time by 40% and improved approve/deny decision quality — expanding programme scope to two additional business units mid-flight.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Built AI Agents using Copilot Studio and Semantic Kernel integrated with CCC, GTG, and Restrictions data sources; automated reasoning-model-driven decisions, reducing human escalations by 55% — a metric the Microsoft client used to justify a permanent headcount reduction.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Designed enterprise API Management strategy (APIM, OAuth 2.0, JWT, Azure AD RBAC, rate-limiting) across all AI agent endpoints — platform passed Microsoft's internal security review on first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Embedded AI Evaluation Studio quality gates into CI/CD pipelines, creating a repeatable quality assurance model now adopted as a delivery standard within LTIMindtree's AI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Contributed to account growth narrative: provided technical inputs for two RFP responses and participated in solution presentations with Microsoft's procurement team, extending the engagement by two quarters.</w:t>
      </w:r>
    </w:p>
    <w:p>
      <w:pPr>
        <w:spacing w:before="80" w:after="0"/>
      </w:pP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Senior Solution Architect – Cloud Modernisation Lead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LTIMindtree  |  Client: Cadent TV (AdTech)  |  Mumbai, India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Aug 2020 – Jan 2024</w:t>
      </w:r>
    </w:p>
    <w:p>
      <w:pPr>
        <w:spacing w:before="0" w:after="6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Owned technical strategy and programme governance for a multi-year cloud-native modernisation initiative; led a cross-functional team of 15 engineers across onshore and offshore locations. Supported account farming activities, contributing to a portfolio that grew 40% during the 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Defined and executed a phased cloud migration roadmap (on-premises monolith to AWS), decomposing a legacy buy-side/sell-side AdTech platform into 20+ domain-aligned .NET Core microservices; delivered all 6 migration phases on schedule and within budget — establishing credibility that led to a follow-on SRE 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Architected an event-driven campaign orchestration pipeline (AWS Lambda, SQS/SNS, API Gateway) improving throughput 3x while reducing compute costs by 35% versus the monolithic predecessor — a business case outcome the client CFO referenced in their quarterly technology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Established Agile delivery pods and sprint governance, coaching client product owners on backlog prioritisation; reduced release-related incidents by 50% and cut deployment frequency from monthly to bi-weekly.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Implemented DataDog full-stack observability across all microservices; reduced MTTR for production incidents from 4 hours to under 45 minutes — directly improving SLA adherence for Cadent's media buyer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Led security posture uplift using SonarQube and Checkmarx SAST; resolved 100% of critical and high vulnerabilities, enabling the client to satisfy advertiser data-security audits.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Worked alongside the engagement manager on Statements of Work and change-request commercials; provided technical sign-off on effort estimates and participated in quarterly business reviews with Cadent's SVP Engineering.</w:t>
      </w:r>
    </w:p>
    <w:p>
      <w:pPr>
        <w:spacing w:before="80" w:after="0"/>
      </w:pP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Lead Software Architect – Digital Claims Platform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L&amp;T Infotech (LTI)  |  Client: Travelers Insurance  |  Hartford, CT, USA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Feb 2018 – Jul 2020</w:t>
      </w:r>
    </w:p>
    <w:p>
      <w:pPr>
        <w:spacing w:before="0" w:after="6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Technical anchor for Travelers' flagship Digital Claims self-service programme, collaborating closely with the client's VP of Claims Technology to define architecture decisions and manage a 10-person onshore/offshore engineering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Architected a mobile-responsive Digital Claims portal (Business, Personal, Workers' Compensation) using .NET Core microservices, NodeJS/KOA REST APIs, ReactJS, and Socket.IO — serving tens of thousands of policyholders and reducing dependency on claim handlers by 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Designed a JWT-authenticated, fully Swagger-documented RESTful API layer with 100% test automation (TDD/BDD: SpecFlow, NUnit, MoQ); achieved 98% code coverage and zero critical defects at production go-live.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Built and mentored a blended team of 10 onshore/offshore engineers; introduced architectural standards and code-review practices that improved team velocity by 30% over 6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Two-time Hackathon winner (Travelers Claims Division, 2018 &amp; 2019) — prototyped an AI-assisted claims triage solution that was adopted into the official product roadmap, demonstrating the ability to translate innovation into commercial opportunity.</w:t>
      </w:r>
    </w:p>
    <w:p>
      <w:pPr>
        <w:spacing w:before="80" w:after="0"/>
      </w:pP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Senior Software Engineer / Architect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Broadridge Financial Solutions  |  Brentwood, NY, USA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Mar 2017 – Oct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Designed and delivered a Vote Processing System for shareholder voting (ASP.NET, C#, SQL Server 2016) with MEF plug-in extensibility — enabling zero-downtime workflow updates and reducing infrastructure overhead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Led Checkmarx SAST scanning across the codebase; eliminated all high-severity vulnerabilities ahead of go-live in a heavily regulated financial services environment.</w:t>
      </w:r>
    </w:p>
    <w:p>
      <w:pPr>
        <w:spacing w:before="80" w:after="0"/>
      </w:pPr>
    </w:p>
    <w:p>
      <w:pPr>
        <w:tabs>
          <w:tab w:val="right" w:pos="9200"/>
        </w:tabs>
        <w:spacing w:before="20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Software Engineer &amp; Module Lead — Earlier Career</w:t>
      </w:r>
      <w:r>
        <w:rPr>
          <w:rFonts w:ascii="Calibri" w:eastAsia="Calibri" w:hAnsi="Calibri" w:cs="Calibri"/>
          <w:color w:val="0D6E6E"/>
          <w:sz w:val="19"/>
          <w:szCs w:val="19"/>
        </w:rPr>
        <w:t xml:space="preserve">  |  Cyberthink | Jiva Infotech | Kalixa Payments | Deloitte | IBM India  |  US / Europe / India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ab/>
        <w:t>May 2010 – Dec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IBM India (ExxonMobil &amp; Sprint, 2010–2013): Led Entity Framework 4.0 module development; delivered WPF/XAML MVVM enterprise portal, SSIS/SSRS reporting, and SharePoint 2010 intranet for 2,000+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Deloitte (IMRF, 2013–2014): Built ASP.NET MVC pension fund allocation portal for Illinois Municipal Retirement Fund, automating benefit disbursement for retired government employees.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Kalixa Payments (Vienna, 2015): Designed RESTful Web API back-end for credit-card issuance and fraud detection in a PCI-DSS-compliant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Jiva Infotech / Cyberthink (2015–2017): Delivered Angular + Xamarin scheduling platform and real-time SignalR/MongoDB workflow dashboards for fintech clients.</w:t>
      </w:r>
    </w:p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Education</w:t>
      </w:r>
    </w:p>
    <w:p>
      <w:pPr>
        <w:spacing w:before="80" w:after="30"/>
      </w:pPr>
      <w:r>
        <w:rPr>
          <w:rFonts w:ascii="Calibri" w:eastAsia="Calibri" w:hAnsi="Calibri" w:cs="Calibri"/>
          <w:b/>
          <w:bCs/>
          <w:color w:val="1B3A5C"/>
          <w:sz w:val="20"/>
          <w:szCs w:val="20"/>
        </w:rPr>
        <w:t xml:space="preserve">M.Tech – Data Science &amp; Artificial Intelligence  </w:t>
      </w:r>
      <w:r>
        <w:rPr>
          <w:rFonts w:ascii="Calibri" w:eastAsia="Calibri" w:hAnsi="Calibri" w:cs="Calibri"/>
          <w:color w:val="555555"/>
          <w:sz w:val="19"/>
          <w:szCs w:val="19"/>
        </w:rPr>
        <w:t>BITS Pilani, India</w:t>
      </w:r>
    </w:p>
    <w:p>
      <w:pPr>
        <w:spacing w:before="30" w:after="80"/>
      </w:pPr>
      <w:r>
        <w:rPr>
          <w:rFonts w:ascii="Calibri" w:eastAsia="Calibri" w:hAnsi="Calibri" w:cs="Calibri"/>
          <w:b/>
          <w:bCs/>
          <w:color w:val="1B3A5C"/>
          <w:sz w:val="20"/>
          <w:szCs w:val="20"/>
        </w:rPr>
        <w:t xml:space="preserve">B.E. – Computer Engineering  </w:t>
      </w:r>
      <w:r>
        <w:rPr>
          <w:rFonts w:ascii="Calibri" w:eastAsia="Calibri" w:hAnsi="Calibri" w:cs="Calibri"/>
          <w:color w:val="555555"/>
          <w:sz w:val="19"/>
          <w:szCs w:val="19"/>
        </w:rPr>
        <w:t>Mumbai University, India</w:t>
      </w:r>
    </w:p>
    <w:p>
      <w:pPr>
        <w:pBdr>
          <w:bottom w:val="single" w:sz="8" w:space="2" w:color="1B3A5C"/>
        </w:pBdr>
        <w:spacing w:before="80" w:after="140"/>
      </w:pPr>
    </w:p>
    <w:p>
      <w:pPr>
        <w:spacing w:before="200" w:after="70"/>
      </w:pPr>
      <w:r>
        <w:rPr>
          <w:rFonts w:ascii="Calibri" w:eastAsia="Calibri" w:hAnsi="Calibri" w:cs="Calibri"/>
          <w:b/>
          <w:bCs/>
          <w:caps/>
          <w:color w:val="1B3A5C"/>
          <w:spacing w:val="40"/>
          <w:sz w:val="22"/>
          <w:szCs w:val="22"/>
        </w:rPr>
        <w:t>Certifications &amp;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Microsoft Certified Technology Specialist — .NET 4.0 Web | .NET 4.0 Windows | .NET 2.0 Web &amp;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SAFe Certified Scrum Master (Scaled Agile Framework)  |  Certified Scrum Master — Scrum Alliance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LTIMindtree North Star Award (2024)  |  LTIMindtree Super Crew Award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>Two-Time Hackathon Winner — Travelers Insurance Claims Division (2018, 2019)</w:t>
      </w:r>
    </w:p>
    <w:p>
      <w:pPr>
        <w:pBdr>
          <w:bottom w:val="single" w:sz="8" w:space="2" w:color="1B3A5C"/>
        </w:pBdr>
        <w:spacing w:before="80" w:after="140"/>
      </w:pPr>
    </w:p>
    <w:p>
      <w:pPr>
        <w:spacing w:before="60" w:after="0"/>
        <w:jc w:val="center"/>
      </w:pPr>
      <w:r>
        <w:rPr>
          <w:rFonts w:ascii="Calibri" w:eastAsia="Calibri" w:hAnsi="Calibri" w:cs="Calibri"/>
          <w:color w:val="BBBBBB"/>
          <w:sz w:val="15"/>
          <w:szCs w:val="15"/>
        </w:rPr>
        <w:t>GenAI Strategy  ·  Agentic AI  ·  Enterprise Architecture  ·  Account Management  ·  Portfolio Delivery  ·  Practice Development  ·  Azure AI Foundry  ·  RAG  ·  Semantic Kernel  ·  Cloud Modernisation  ·  .NET Core  ·  AWS  ·  Pre-Sales  ·  Digital Transformation  ·  Stakeholder Engagement  ·  P&amp;L Management  ·  C-suite Advisory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900" w:right="1080" w:bottom="9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524D61A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DC50075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660" w:hanging="30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555555"/>
        <w:sz w:val="19"/>
        <w:szCs w:val="19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02750464f98089bebeb41aaf1480c8a134f4b0419514c4847440321091b5b58120b150b18405a550b435601514841481f0f2b561358191b195115495d0c00584e4209430247460c590858184508105042445b0c0f054e4108120211474a411b02154e49405d58380c4f0343421b0015061953444f530e18705c4458440321091b5b581600110316495f4f1543094a5d030903495e550f504c15081703030c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2026-05-05T16:29:22Z</dcterms:created>
  <dcterms:modified xsi:type="dcterms:W3CDTF">2026-05-05T16:29:22Z</dcterms:modified>
</cp:coreProperties>
</file>