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4"/>
          <w:szCs w:val="24"/>
        </w:rPr>
      </w:pPr>
      <w:r>
        <w:rPr/>
        <w:tab/>
        <w:tab/>
        <w:tab/>
        <w:tab/>
        <w:tab/>
        <w:tab/>
      </w:r>
      <w:r>
        <w:rPr>
          <w:b/>
          <w:bCs/>
          <w:sz w:val="36"/>
          <w:szCs w:val="36"/>
        </w:rPr>
        <w:t>RESUME</w:t>
      </w:r>
    </w:p>
    <w:p>
      <w:pPr>
        <w:pStyle w:val="Normal"/>
        <w:rPr/>
      </w:pPr>
      <w:r>
        <w:rPr/>
      </w:r>
    </w:p>
    <w:p>
      <w:pPr>
        <w:pStyle w:val="Normal"/>
        <w:rPr/>
      </w:pPr>
      <w:r>
        <w:rPr/>
      </w:r>
    </w:p>
    <w:p>
      <w:pPr>
        <w:pStyle w:val="Normal"/>
        <w:rPr/>
      </w:pPr>
      <w:r>
        <w:rPr/>
      </w:r>
    </w:p>
    <w:tbl>
      <w:tblPr>
        <w:tblW w:w="10080" w:type="dxa"/>
        <w:jc w:val="left"/>
        <w:tblInd w:w="0" w:type="dxa"/>
        <w:tblLayout w:type="fixed"/>
        <w:tblCellMar>
          <w:top w:w="200" w:type="dxa"/>
          <w:left w:w="300" w:type="dxa"/>
          <w:bottom w:w="200" w:type="dxa"/>
          <w:right w:w="300" w:type="dxa"/>
        </w:tblCellMar>
        <w:tblLook w:val="04a0"/>
      </w:tblPr>
      <w:tblGrid>
        <w:gridCol w:w="10080"/>
      </w:tblGrid>
      <w:tr>
        <w:trPr/>
        <w:tc>
          <w:tcPr>
            <w:tcW w:w="10080" w:type="dxa"/>
            <w:tcBorders/>
            <w:shd w:color="auto" w:fill="1F4E79" w:val="clear"/>
          </w:tcPr>
          <w:p>
            <w:pPr>
              <w:pStyle w:val="Normal"/>
              <w:widowControl w:val="false"/>
              <w:jc w:val="center"/>
              <w:rPr/>
            </w:pPr>
            <w:r>
              <w:rPr>
                <w:b/>
                <w:bCs/>
                <w:color w:val="FFFFFF"/>
                <w:sz w:val="52"/>
                <w:szCs w:val="52"/>
              </w:rPr>
              <w:t>ANIL KUMAR</w:t>
            </w:r>
          </w:p>
          <w:p>
            <w:pPr>
              <w:pStyle w:val="Normal"/>
              <w:widowControl w:val="false"/>
              <w:spacing w:before="80" w:after="0"/>
              <w:jc w:val="center"/>
              <w:rPr/>
            </w:pPr>
            <w:r>
              <w:rPr>
                <w:color w:val="D9E8F5"/>
                <w:sz w:val="19"/>
                <w:szCs w:val="19"/>
              </w:rPr>
              <w:t>anil789207@gmail.com</w:t>
            </w:r>
            <w:r>
              <w:rPr>
                <w:color w:val="BDD7EE"/>
                <w:sz w:val="19"/>
                <w:szCs w:val="19"/>
              </w:rPr>
              <w:t xml:space="preserve">   |   </w:t>
            </w:r>
            <w:r>
              <w:rPr>
                <w:color w:val="D9E8F5"/>
                <w:sz w:val="19"/>
                <w:szCs w:val="19"/>
              </w:rPr>
              <w:t>+917892075661</w:t>
            </w:r>
            <w:r>
              <w:rPr>
                <w:color w:val="BDD7EE"/>
                <w:sz w:val="19"/>
                <w:szCs w:val="19"/>
              </w:rPr>
              <w:t xml:space="preserve">   |   </w:t>
            </w:r>
            <w:r>
              <w:rPr>
                <w:color w:val="BDD7EE"/>
                <w:sz w:val="19"/>
                <w:szCs w:val="19"/>
              </w:rPr>
              <w:t>4</w:t>
            </w:r>
            <w:r>
              <w:rPr>
                <w:color w:val="D9E8F5"/>
                <w:sz w:val="19"/>
                <w:szCs w:val="19"/>
              </w:rPr>
              <w:t xml:space="preserve"> Years Experience</w:t>
            </w:r>
          </w:p>
        </w:tc>
      </w:tr>
    </w:tbl>
    <w:p>
      <w:pPr>
        <w:pStyle w:val="Normal"/>
        <w:spacing w:before="60" w:after="60"/>
        <w:rPr/>
      </w:pPr>
      <w:r>
        <w:rPr/>
      </w:r>
    </w:p>
    <w:p>
      <w:pPr>
        <w:pStyle w:val="Normal"/>
        <w:pBdr>
          <w:bottom w:val="single" w:sz="8" w:space="2" w:color="2E75B6"/>
        </w:pBdr>
        <w:spacing w:before="200" w:after="60"/>
        <w:rPr/>
      </w:pPr>
      <w:r>
        <w:rPr>
          <w:b/>
          <w:bCs/>
          <w:color w:val="1F4E79"/>
          <w:sz w:val="24"/>
          <w:szCs w:val="24"/>
        </w:rPr>
        <w:t>PROFESSIONAL SUMMARY</w:t>
      </w:r>
    </w:p>
    <w:p>
      <w:pPr>
        <w:pStyle w:val="Normal"/>
        <w:spacing w:before="60" w:after="60"/>
        <w:rPr/>
      </w:pPr>
      <w:r>
        <w:rPr/>
      </w:r>
    </w:p>
    <w:p>
      <w:pPr>
        <w:pStyle w:val="Normal"/>
        <w:spacing w:before="60" w:after="60"/>
        <w:rPr/>
      </w:pPr>
      <w:r>
        <w:rPr>
          <w:color w:val="1A1A1A"/>
        </w:rPr>
        <w:t>Results-driven Oracle HCM Technical Consultant with 4 years of hands-on experience in HR and payroll data migration, data management, and Oracle HCM Cloud implementation. Proven expertise in end-to-end data lifecycle management including data extraction, cleansing, validation, reconciliation, and migration using HDL/HSDL. Adept at building BI Publisher and OTBI reports, HCM Extracts, and outbound integrations. Strong SQL skills and advanced Excel capabilities enable robust data transformation and reconciliation. Experienced across Core HR, Absence Management, Payroll, Benefits, and Oracle Time &amp; Labor modules. Committed to data accuracy, compliance, and delivering high-quality migration outcomes in UAT and go-live environments.</w:t>
      </w:r>
    </w:p>
    <w:p>
      <w:pPr>
        <w:pStyle w:val="Normal"/>
        <w:spacing w:before="60" w:after="60"/>
        <w:rPr/>
      </w:pPr>
      <w:r>
        <w:rPr/>
      </w:r>
    </w:p>
    <w:p>
      <w:pPr>
        <w:pStyle w:val="Normal"/>
        <w:pBdr>
          <w:bottom w:val="single" w:sz="8" w:space="2" w:color="2E75B6"/>
        </w:pBdr>
        <w:spacing w:before="200" w:after="60"/>
        <w:rPr/>
      </w:pPr>
      <w:r>
        <w:rPr>
          <w:b/>
          <w:bCs/>
          <w:color w:val="1F4E79"/>
          <w:sz w:val="24"/>
          <w:szCs w:val="24"/>
        </w:rPr>
        <w:t>KEY COMPETENCIES</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Look w:val="04a0"/>
      </w:tblPr>
      <w:tblGrid>
        <w:gridCol w:w="5056"/>
        <w:gridCol w:w="2045"/>
        <w:gridCol w:w="2259"/>
      </w:tblGrid>
      <w:tr>
        <w:trPr/>
        <w:tc>
          <w:tcPr>
            <w:tcW w:w="5056" w:type="dxa"/>
            <w:tcBorders/>
            <w:shd w:color="auto" w:fill="D6E4F0" w:val="clear"/>
          </w:tcPr>
          <w:p>
            <w:pPr>
              <w:pStyle w:val="Normal"/>
              <w:widowControl w:val="false"/>
              <w:jc w:val="center"/>
              <w:rPr/>
            </w:pPr>
            <w:r>
              <w:rPr>
                <w:b/>
                <w:bCs/>
                <w:color w:val="1F4E79"/>
                <w:sz w:val="18"/>
                <w:szCs w:val="18"/>
              </w:rPr>
              <w:t>HR &amp; Payroll Data Migration</w:t>
            </w:r>
          </w:p>
        </w:tc>
        <w:tc>
          <w:tcPr>
            <w:tcW w:w="2045" w:type="dxa"/>
            <w:tcBorders/>
            <w:shd w:color="auto" w:fill="D6E4F0" w:val="clear"/>
          </w:tcPr>
          <w:p>
            <w:pPr>
              <w:pStyle w:val="Normal"/>
              <w:widowControl w:val="false"/>
              <w:jc w:val="center"/>
              <w:rPr/>
            </w:pPr>
            <w:r>
              <w:rPr>
                <w:b/>
                <w:bCs/>
                <w:color w:val="1F4E79"/>
                <w:sz w:val="18"/>
                <w:szCs w:val="18"/>
              </w:rPr>
              <w:t>HDL / HSDL Data Loading</w:t>
            </w:r>
          </w:p>
        </w:tc>
        <w:tc>
          <w:tcPr>
            <w:tcW w:w="2259" w:type="dxa"/>
            <w:tcBorders/>
            <w:shd w:color="auto" w:fill="D6E4F0" w:val="clear"/>
          </w:tcPr>
          <w:p>
            <w:pPr>
              <w:pStyle w:val="Normal"/>
              <w:widowControl w:val="false"/>
              <w:jc w:val="center"/>
              <w:rPr/>
            </w:pPr>
            <w:r>
              <w:rPr>
                <w:b/>
                <w:bCs/>
                <w:color w:val="1F4E79"/>
                <w:sz w:val="18"/>
                <w:szCs w:val="18"/>
              </w:rPr>
              <w:t>Data Cleansing &amp; Validation</w:t>
            </w:r>
          </w:p>
        </w:tc>
      </w:tr>
      <w:tr>
        <w:trPr/>
        <w:tc>
          <w:tcPr>
            <w:tcW w:w="5056" w:type="dxa"/>
            <w:tcBorders/>
            <w:tcMar>
              <w:top w:w="40" w:type="dxa"/>
              <w:left w:w="10" w:type="dxa"/>
              <w:bottom w:w="0" w:type="dxa"/>
              <w:right w:w="10" w:type="dxa"/>
            </w:tcMar>
          </w:tcPr>
          <w:p>
            <w:pPr>
              <w:pStyle w:val="Normal"/>
              <w:widowControl w:val="false"/>
              <w:rPr/>
            </w:pPr>
            <w:r>
              <w:rPr/>
            </w:r>
          </w:p>
        </w:tc>
        <w:tc>
          <w:tcPr>
            <w:tcW w:w="2045" w:type="dxa"/>
            <w:tcBorders/>
            <w:tcMar>
              <w:top w:w="0" w:type="dxa"/>
              <w:left w:w="10" w:type="dxa"/>
              <w:bottom w:w="0" w:type="dxa"/>
              <w:right w:w="10" w:type="dxa"/>
            </w:tcMar>
          </w:tcPr>
          <w:p>
            <w:pPr>
              <w:pStyle w:val="Normal"/>
              <w:widowControl w:val="false"/>
              <w:rPr/>
            </w:pPr>
            <w:r>
              <w:rPr/>
            </w:r>
          </w:p>
        </w:tc>
        <w:tc>
          <w:tcPr>
            <w:tcW w:w="2259" w:type="dxa"/>
            <w:tcBorders/>
            <w:tcMar>
              <w:top w:w="0" w:type="dxa"/>
              <w:left w:w="10" w:type="dxa"/>
              <w:bottom w:w="0" w:type="dxa"/>
              <w:right w:w="10" w:type="dxa"/>
            </w:tcMar>
          </w:tcPr>
          <w:p>
            <w:pPr>
              <w:pStyle w:val="Normal"/>
              <w:widowControl w:val="false"/>
              <w:rPr/>
            </w:pPr>
            <w:r>
              <w:rPr/>
            </w:r>
          </w:p>
        </w:tc>
      </w:tr>
      <w:tr>
        <w:trPr/>
        <w:tc>
          <w:tcPr>
            <w:tcW w:w="5056" w:type="dxa"/>
            <w:tcBorders/>
            <w:shd w:color="auto" w:fill="D6E4F0" w:val="clear"/>
          </w:tcPr>
          <w:p>
            <w:pPr>
              <w:pStyle w:val="Normal"/>
              <w:widowControl w:val="false"/>
              <w:jc w:val="center"/>
              <w:rPr/>
            </w:pPr>
            <w:r>
              <w:rPr>
                <w:b/>
                <w:bCs/>
                <w:color w:val="1F4E79"/>
                <w:sz w:val="18"/>
                <w:szCs w:val="18"/>
              </w:rPr>
              <w:t>Oracle HCM Extracts</w:t>
            </w:r>
          </w:p>
        </w:tc>
        <w:tc>
          <w:tcPr>
            <w:tcW w:w="2045" w:type="dxa"/>
            <w:tcBorders/>
            <w:shd w:color="auto" w:fill="D6E4F0" w:val="clear"/>
          </w:tcPr>
          <w:p>
            <w:pPr>
              <w:pStyle w:val="Normal"/>
              <w:widowControl w:val="false"/>
              <w:jc w:val="center"/>
              <w:rPr/>
            </w:pPr>
            <w:r>
              <w:rPr>
                <w:b/>
                <w:bCs/>
                <w:color w:val="1F4E79"/>
                <w:sz w:val="18"/>
                <w:szCs w:val="18"/>
              </w:rPr>
              <w:t>BI Publisher &amp; OTBI Reports</w:t>
            </w:r>
          </w:p>
        </w:tc>
        <w:tc>
          <w:tcPr>
            <w:tcW w:w="2259" w:type="dxa"/>
            <w:tcBorders/>
            <w:shd w:color="auto" w:fill="D6E4F0" w:val="clear"/>
          </w:tcPr>
          <w:p>
            <w:pPr>
              <w:pStyle w:val="Normal"/>
              <w:widowControl w:val="false"/>
              <w:jc w:val="center"/>
              <w:rPr/>
            </w:pPr>
            <w:r>
              <w:rPr>
                <w:b/>
                <w:bCs/>
                <w:color w:val="1F4E79"/>
                <w:sz w:val="18"/>
                <w:szCs w:val="18"/>
              </w:rPr>
              <w:t>Data Reconciliation</w:t>
            </w:r>
          </w:p>
        </w:tc>
      </w:tr>
      <w:tr>
        <w:trPr/>
        <w:tc>
          <w:tcPr>
            <w:tcW w:w="5056" w:type="dxa"/>
            <w:tcBorders/>
            <w:tcMar>
              <w:top w:w="40" w:type="dxa"/>
              <w:left w:w="10" w:type="dxa"/>
              <w:bottom w:w="0" w:type="dxa"/>
              <w:right w:w="10" w:type="dxa"/>
            </w:tcMar>
          </w:tcPr>
          <w:p>
            <w:pPr>
              <w:pStyle w:val="Normal"/>
              <w:widowControl w:val="false"/>
              <w:rPr/>
            </w:pPr>
            <w:r>
              <w:rPr/>
            </w:r>
          </w:p>
        </w:tc>
        <w:tc>
          <w:tcPr>
            <w:tcW w:w="2045" w:type="dxa"/>
            <w:tcBorders/>
            <w:tcMar>
              <w:top w:w="0" w:type="dxa"/>
              <w:left w:w="10" w:type="dxa"/>
              <w:bottom w:w="0" w:type="dxa"/>
              <w:right w:w="10" w:type="dxa"/>
            </w:tcMar>
          </w:tcPr>
          <w:p>
            <w:pPr>
              <w:pStyle w:val="Normal"/>
              <w:widowControl w:val="false"/>
              <w:rPr/>
            </w:pPr>
            <w:r>
              <w:rPr/>
            </w:r>
          </w:p>
        </w:tc>
        <w:tc>
          <w:tcPr>
            <w:tcW w:w="2259" w:type="dxa"/>
            <w:tcBorders/>
            <w:tcMar>
              <w:top w:w="0" w:type="dxa"/>
              <w:left w:w="10" w:type="dxa"/>
              <w:bottom w:w="0" w:type="dxa"/>
              <w:right w:w="10" w:type="dxa"/>
            </w:tcMar>
          </w:tcPr>
          <w:p>
            <w:pPr>
              <w:pStyle w:val="Normal"/>
              <w:widowControl w:val="false"/>
              <w:rPr/>
            </w:pPr>
            <w:r>
              <w:rPr/>
            </w:r>
          </w:p>
        </w:tc>
      </w:tr>
      <w:tr>
        <w:trPr/>
        <w:tc>
          <w:tcPr>
            <w:tcW w:w="5056" w:type="dxa"/>
            <w:tcBorders/>
            <w:shd w:color="auto" w:fill="D6E4F0" w:val="clear"/>
          </w:tcPr>
          <w:p>
            <w:pPr>
              <w:pStyle w:val="Normal"/>
              <w:widowControl w:val="false"/>
              <w:jc w:val="center"/>
              <w:rPr/>
            </w:pPr>
            <w:r>
              <w:rPr>
                <w:b/>
                <w:bCs/>
                <w:color w:val="1F4E79"/>
                <w:sz w:val="18"/>
                <w:szCs w:val="18"/>
              </w:rPr>
              <w:t>SQL Querying &amp; Data Extraction</w:t>
            </w:r>
          </w:p>
        </w:tc>
        <w:tc>
          <w:tcPr>
            <w:tcW w:w="2045" w:type="dxa"/>
            <w:tcBorders/>
            <w:shd w:color="auto" w:fill="D6E4F0" w:val="clear"/>
          </w:tcPr>
          <w:p>
            <w:pPr>
              <w:pStyle w:val="Normal"/>
              <w:widowControl w:val="false"/>
              <w:jc w:val="center"/>
              <w:rPr/>
            </w:pPr>
            <w:r>
              <w:rPr>
                <w:b/>
                <w:bCs/>
                <w:color w:val="1F4E79"/>
                <w:sz w:val="18"/>
                <w:szCs w:val="18"/>
              </w:rPr>
              <w:t>Fast Formulas &amp; Payroll OTL</w:t>
            </w:r>
          </w:p>
        </w:tc>
        <w:tc>
          <w:tcPr>
            <w:tcW w:w="2259" w:type="dxa"/>
            <w:tcBorders/>
            <w:shd w:color="auto" w:fill="D6E4F0" w:val="clear"/>
          </w:tcPr>
          <w:p>
            <w:pPr>
              <w:pStyle w:val="Normal"/>
              <w:widowControl w:val="false"/>
              <w:jc w:val="center"/>
              <w:rPr/>
            </w:pPr>
            <w:r>
              <w:rPr>
                <w:b/>
                <w:bCs/>
                <w:color w:val="1F4E79"/>
                <w:sz w:val="18"/>
                <w:szCs w:val="18"/>
              </w:rPr>
              <w:t>UAT &amp; Go-Live Support</w:t>
            </w:r>
          </w:p>
        </w:tc>
      </w:tr>
    </w:tbl>
    <w:p>
      <w:pPr>
        <w:pStyle w:val="Normal"/>
        <w:spacing w:before="60" w:after="60"/>
        <w:rPr/>
      </w:pPr>
      <w:r>
        <w:rPr/>
      </w:r>
    </w:p>
    <w:p>
      <w:pPr>
        <w:pStyle w:val="Normal"/>
        <w:pBdr>
          <w:bottom w:val="single" w:sz="8" w:space="2" w:color="2E75B6"/>
        </w:pBdr>
        <w:spacing w:before="200" w:after="60"/>
        <w:rPr/>
      </w:pPr>
      <w:r>
        <w:rPr>
          <w:b/>
          <w:bCs/>
          <w:color w:val="1F4E79"/>
          <w:sz w:val="24"/>
          <w:szCs w:val="24"/>
        </w:rPr>
        <w:t>TECHNICAL SKILLS</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Look w:val="04a0"/>
      </w:tblPr>
      <w:tblGrid>
        <w:gridCol w:w="2799"/>
        <w:gridCol w:w="6560"/>
      </w:tblGrid>
      <w:tr>
        <w:trPr/>
        <w:tc>
          <w:tcPr>
            <w:tcW w:w="2799" w:type="dxa"/>
            <w:tcBorders>
              <w:top w:val="single" w:sz="4" w:space="0" w:color="000000"/>
              <w:left w:val="single" w:sz="4" w:space="0" w:color="000000"/>
              <w:bottom w:val="single" w:sz="4" w:space="0" w:color="000000"/>
              <w:right w:val="single" w:sz="4" w:space="0" w:color="000000"/>
            </w:tcBorders>
            <w:shd w:color="auto" w:fill="D6E4F0" w:val="clear"/>
          </w:tcPr>
          <w:p>
            <w:pPr>
              <w:pStyle w:val="Normal"/>
              <w:widowControl w:val="false"/>
              <w:rPr/>
            </w:pPr>
            <w:r>
              <w:rPr>
                <w:b/>
                <w:bCs/>
                <w:color w:val="1F4E79"/>
                <w:sz w:val="19"/>
                <w:szCs w:val="19"/>
              </w:rPr>
              <w:t>Oracle HCM Cloud</w:t>
            </w:r>
          </w:p>
        </w:tc>
        <w:tc>
          <w:tcPr>
            <w:tcW w:w="65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1A1A1A"/>
                <w:sz w:val="19"/>
                <w:szCs w:val="19"/>
              </w:rPr>
              <w:t>Core HR, Absence Management, Payroll, Benefits, Oracle Time &amp; Labor (OTL)</w:t>
            </w:r>
          </w:p>
        </w:tc>
      </w:tr>
      <w:tr>
        <w:trPr/>
        <w:tc>
          <w:tcPr>
            <w:tcW w:w="2799" w:type="dxa"/>
            <w:tcBorders>
              <w:top w:val="single" w:sz="4" w:space="0" w:color="000000"/>
              <w:left w:val="single" w:sz="4" w:space="0" w:color="000000"/>
              <w:bottom w:val="single" w:sz="4" w:space="0" w:color="000000"/>
              <w:right w:val="single" w:sz="4" w:space="0" w:color="000000"/>
            </w:tcBorders>
            <w:shd w:color="auto" w:fill="D6E4F0" w:val="clear"/>
          </w:tcPr>
          <w:p>
            <w:pPr>
              <w:pStyle w:val="Normal"/>
              <w:widowControl w:val="false"/>
              <w:rPr/>
            </w:pPr>
            <w:r>
              <w:rPr>
                <w:b/>
                <w:bCs/>
                <w:color w:val="1F4E79"/>
                <w:sz w:val="19"/>
                <w:szCs w:val="19"/>
              </w:rPr>
              <w:t>Data Migration Tools</w:t>
            </w:r>
          </w:p>
        </w:tc>
        <w:tc>
          <w:tcPr>
            <w:tcW w:w="65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1A1A1A"/>
                <w:sz w:val="19"/>
                <w:szCs w:val="19"/>
              </w:rPr>
              <w:t>HDL (HCM Data Loader), HSDL (HCM Spreadsheet Data Loader), Data Loaders</w:t>
            </w:r>
          </w:p>
        </w:tc>
      </w:tr>
      <w:tr>
        <w:trPr/>
        <w:tc>
          <w:tcPr>
            <w:tcW w:w="2799" w:type="dxa"/>
            <w:tcBorders>
              <w:top w:val="single" w:sz="4" w:space="0" w:color="000000"/>
              <w:left w:val="single" w:sz="4" w:space="0" w:color="000000"/>
              <w:bottom w:val="single" w:sz="4" w:space="0" w:color="000000"/>
              <w:right w:val="single" w:sz="4" w:space="0" w:color="000000"/>
            </w:tcBorders>
            <w:shd w:color="auto" w:fill="D6E4F0" w:val="clear"/>
          </w:tcPr>
          <w:p>
            <w:pPr>
              <w:pStyle w:val="Normal"/>
              <w:widowControl w:val="false"/>
              <w:rPr/>
            </w:pPr>
            <w:r>
              <w:rPr>
                <w:b/>
                <w:bCs/>
                <w:color w:val="1F4E79"/>
                <w:sz w:val="19"/>
                <w:szCs w:val="19"/>
              </w:rPr>
              <w:t>Reporting &amp; Analytics</w:t>
            </w:r>
          </w:p>
        </w:tc>
        <w:tc>
          <w:tcPr>
            <w:tcW w:w="65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1A1A1A"/>
                <w:sz w:val="19"/>
                <w:szCs w:val="19"/>
              </w:rPr>
              <w:t>BI Publisher (BIP), OTBI, HCM Extracts (Inbound/Outbound, Changes-Only Mode)</w:t>
            </w:r>
          </w:p>
        </w:tc>
      </w:tr>
      <w:tr>
        <w:trPr/>
        <w:tc>
          <w:tcPr>
            <w:tcW w:w="2799" w:type="dxa"/>
            <w:tcBorders>
              <w:top w:val="single" w:sz="4" w:space="0" w:color="000000"/>
              <w:left w:val="single" w:sz="4" w:space="0" w:color="000000"/>
              <w:bottom w:val="single" w:sz="4" w:space="0" w:color="000000"/>
              <w:right w:val="single" w:sz="4" w:space="0" w:color="000000"/>
            </w:tcBorders>
            <w:shd w:color="auto" w:fill="D6E4F0" w:val="clear"/>
          </w:tcPr>
          <w:p>
            <w:pPr>
              <w:pStyle w:val="Normal"/>
              <w:widowControl w:val="false"/>
              <w:rPr/>
            </w:pPr>
            <w:r>
              <w:rPr>
                <w:b/>
                <w:bCs/>
                <w:color w:val="1F4E79"/>
                <w:sz w:val="19"/>
                <w:szCs w:val="19"/>
              </w:rPr>
              <w:t>Integration Tools</w:t>
            </w:r>
          </w:p>
        </w:tc>
        <w:tc>
          <w:tcPr>
            <w:tcW w:w="65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1A1A1A"/>
                <w:sz w:val="19"/>
                <w:szCs w:val="19"/>
              </w:rPr>
              <w:t>HCM Extracts, BIP-based Integrations, OIC (Oracle Integration Cloud), SFTP, UCM</w:t>
            </w:r>
          </w:p>
        </w:tc>
      </w:tr>
      <w:tr>
        <w:trPr/>
        <w:tc>
          <w:tcPr>
            <w:tcW w:w="2799" w:type="dxa"/>
            <w:tcBorders>
              <w:top w:val="single" w:sz="4" w:space="0" w:color="000000"/>
              <w:left w:val="single" w:sz="4" w:space="0" w:color="000000"/>
              <w:bottom w:val="single" w:sz="4" w:space="0" w:color="000000"/>
              <w:right w:val="single" w:sz="4" w:space="0" w:color="000000"/>
            </w:tcBorders>
            <w:shd w:color="auto" w:fill="D6E4F0" w:val="clear"/>
          </w:tcPr>
          <w:p>
            <w:pPr>
              <w:pStyle w:val="Normal"/>
              <w:widowControl w:val="false"/>
              <w:rPr/>
            </w:pPr>
            <w:r>
              <w:rPr>
                <w:b/>
                <w:bCs/>
                <w:color w:val="1F4E79"/>
                <w:sz w:val="19"/>
                <w:szCs w:val="19"/>
              </w:rPr>
              <w:t>Languages &amp; Database</w:t>
            </w:r>
          </w:p>
        </w:tc>
        <w:tc>
          <w:tcPr>
            <w:tcW w:w="65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1A1A1A"/>
                <w:sz w:val="19"/>
                <w:szCs w:val="19"/>
              </w:rPr>
              <w:t>SQL, Oracle 10g/11g, SQL*Plus</w:t>
            </w:r>
          </w:p>
        </w:tc>
      </w:tr>
      <w:tr>
        <w:trPr/>
        <w:tc>
          <w:tcPr>
            <w:tcW w:w="2799" w:type="dxa"/>
            <w:tcBorders>
              <w:top w:val="single" w:sz="4" w:space="0" w:color="000000"/>
              <w:left w:val="single" w:sz="4" w:space="0" w:color="000000"/>
              <w:bottom w:val="single" w:sz="4" w:space="0" w:color="000000"/>
              <w:right w:val="single" w:sz="4" w:space="0" w:color="000000"/>
            </w:tcBorders>
            <w:shd w:color="auto" w:fill="D6E4F0" w:val="clear"/>
          </w:tcPr>
          <w:p>
            <w:pPr>
              <w:pStyle w:val="Normal"/>
              <w:widowControl w:val="false"/>
              <w:rPr/>
            </w:pPr>
            <w:r>
              <w:rPr>
                <w:b/>
                <w:bCs/>
                <w:color w:val="1F4E79"/>
                <w:sz w:val="19"/>
                <w:szCs w:val="19"/>
              </w:rPr>
              <w:t>Templates &amp; Formats</w:t>
            </w:r>
          </w:p>
        </w:tc>
        <w:tc>
          <w:tcPr>
            <w:tcW w:w="65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1A1A1A"/>
                <w:sz w:val="19"/>
                <w:szCs w:val="19"/>
              </w:rPr>
              <w:t>RTF Templates, E-Text Templates, Excel Templates, PDF/XML/CSV/HTML output</w:t>
            </w:r>
          </w:p>
        </w:tc>
      </w:tr>
      <w:tr>
        <w:trPr/>
        <w:tc>
          <w:tcPr>
            <w:tcW w:w="2799" w:type="dxa"/>
            <w:tcBorders>
              <w:top w:val="single" w:sz="4" w:space="0" w:color="000000"/>
              <w:left w:val="single" w:sz="4" w:space="0" w:color="000000"/>
              <w:bottom w:val="single" w:sz="4" w:space="0" w:color="000000"/>
              <w:right w:val="single" w:sz="4" w:space="0" w:color="000000"/>
            </w:tcBorders>
            <w:shd w:color="auto" w:fill="D6E4F0" w:val="clear"/>
          </w:tcPr>
          <w:p>
            <w:pPr>
              <w:pStyle w:val="Normal"/>
              <w:widowControl w:val="false"/>
              <w:rPr/>
            </w:pPr>
            <w:r>
              <w:rPr>
                <w:b/>
                <w:bCs/>
                <w:color w:val="1F4E79"/>
                <w:sz w:val="19"/>
                <w:szCs w:val="19"/>
              </w:rPr>
              <w:t>Security</w:t>
            </w:r>
          </w:p>
        </w:tc>
        <w:tc>
          <w:tcPr>
            <w:tcW w:w="65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1A1A1A"/>
                <w:sz w:val="19"/>
                <w:szCs w:val="19"/>
              </w:rPr>
              <w:t>Role Provisioning, Data Roles, Job Roles, Abstract Roles, Security Profiles</w:t>
            </w:r>
          </w:p>
        </w:tc>
      </w:tr>
      <w:tr>
        <w:trPr/>
        <w:tc>
          <w:tcPr>
            <w:tcW w:w="2799" w:type="dxa"/>
            <w:tcBorders>
              <w:top w:val="single" w:sz="4" w:space="0" w:color="000000"/>
              <w:left w:val="single" w:sz="4" w:space="0" w:color="000000"/>
              <w:bottom w:val="single" w:sz="4" w:space="0" w:color="000000"/>
              <w:right w:val="single" w:sz="4" w:space="0" w:color="000000"/>
            </w:tcBorders>
            <w:shd w:color="auto" w:fill="D6E4F0" w:val="clear"/>
          </w:tcPr>
          <w:p>
            <w:pPr>
              <w:pStyle w:val="Normal"/>
              <w:widowControl w:val="false"/>
              <w:rPr/>
            </w:pPr>
            <w:r>
              <w:rPr>
                <w:b/>
                <w:bCs/>
                <w:color w:val="1F4E79"/>
                <w:sz w:val="19"/>
                <w:szCs w:val="19"/>
              </w:rPr>
              <w:t>ERP Platform</w:t>
            </w:r>
          </w:p>
        </w:tc>
        <w:tc>
          <w:tcPr>
            <w:tcW w:w="656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color w:val="1A1A1A"/>
                <w:sz w:val="19"/>
                <w:szCs w:val="19"/>
              </w:rPr>
              <w:t>Oracle Fusion R13 (Cloud), Oracle Applications</w:t>
            </w:r>
          </w:p>
        </w:tc>
      </w:tr>
    </w:tbl>
    <w:p>
      <w:pPr>
        <w:pStyle w:val="Normal"/>
        <w:spacing w:before="60" w:after="60"/>
        <w:rPr/>
      </w:pPr>
      <w:r>
        <w:rPr/>
      </w:r>
    </w:p>
    <w:p>
      <w:pPr>
        <w:pStyle w:val="Normal"/>
        <w:pBdr>
          <w:bottom w:val="single" w:sz="8" w:space="2" w:color="2E75B6"/>
        </w:pBdr>
        <w:spacing w:before="200" w:after="60"/>
        <w:rPr/>
      </w:pPr>
      <w:r>
        <w:rPr>
          <w:b/>
          <w:bCs/>
          <w:color w:val="1F4E79"/>
          <w:sz w:val="24"/>
          <w:szCs w:val="24"/>
        </w:rPr>
        <w:t>PROFESSIONAL EXPERIENCE</w:t>
      </w:r>
    </w:p>
    <w:p>
      <w:pPr>
        <w:pStyle w:val="Normal"/>
        <w:spacing w:before="60" w:after="60"/>
        <w:rPr/>
      </w:pPr>
      <w:r>
        <w:rPr/>
      </w:r>
    </w:p>
    <w:tbl>
      <w:tblPr>
        <w:tblW w:w="9360" w:type="dxa"/>
        <w:jc w:val="left"/>
        <w:tblInd w:w="0" w:type="dxa"/>
        <w:tblLayout w:type="fixed"/>
        <w:tblCellMar>
          <w:top w:w="0" w:type="dxa"/>
          <w:left w:w="10" w:type="dxa"/>
          <w:bottom w:w="0" w:type="dxa"/>
          <w:right w:w="10" w:type="dxa"/>
        </w:tblCellMar>
        <w:tblLook w:val="04a0"/>
      </w:tblPr>
      <w:tblGrid>
        <w:gridCol w:w="5499"/>
        <w:gridCol w:w="3860"/>
      </w:tblGrid>
      <w:tr>
        <w:trPr/>
        <w:tc>
          <w:tcPr>
            <w:tcW w:w="5499" w:type="dxa"/>
            <w:tcBorders/>
          </w:tcPr>
          <w:p>
            <w:pPr>
              <w:pStyle w:val="Normal"/>
              <w:widowControl w:val="false"/>
              <w:spacing w:before="120" w:after="20"/>
              <w:rPr>
                <w:b/>
                <w:b/>
                <w:bCs/>
                <w:color w:val="1F4E79"/>
                <w:sz w:val="22"/>
                <w:szCs w:val="22"/>
              </w:rPr>
            </w:pPr>
            <w:r>
              <w:rPr>
                <w:b/>
                <w:bCs/>
                <w:color w:val="1F4E79"/>
                <w:sz w:val="22"/>
                <w:szCs w:val="22"/>
              </w:rPr>
              <w:t>Oracle Fusion HCM Technical Consultant</w:t>
            </w:r>
          </w:p>
          <w:p>
            <w:pPr>
              <w:pStyle w:val="Normal"/>
              <w:widowControl w:val="false"/>
              <w:spacing w:before="120" w:after="20"/>
              <w:rPr>
                <w:sz w:val="24"/>
                <w:szCs w:val="24"/>
              </w:rPr>
            </w:pPr>
            <w:r>
              <w:rPr>
                <w:sz w:val="22"/>
                <w:szCs w:val="22"/>
              </w:rPr>
              <w:t>Capgemin</w:t>
            </w:r>
            <w:r>
              <w:rPr>
                <w:sz w:val="24"/>
                <w:szCs w:val="24"/>
              </w:rPr>
              <w:t>i</w:t>
            </w:r>
          </w:p>
          <w:p>
            <w:pPr>
              <w:pStyle w:val="Normal"/>
              <w:widowControl w:val="false"/>
              <w:spacing w:before="0" w:after="40"/>
              <w:rPr/>
            </w:pPr>
            <w:r>
              <w:rPr/>
            </w:r>
          </w:p>
        </w:tc>
        <w:tc>
          <w:tcPr>
            <w:tcW w:w="3860" w:type="dxa"/>
            <w:tcBorders/>
            <w:vAlign w:val="center"/>
          </w:tcPr>
          <w:p>
            <w:pPr>
              <w:pStyle w:val="Normal"/>
              <w:widowControl w:val="false"/>
              <w:spacing w:before="60" w:after="20"/>
              <w:jc w:val="right"/>
              <w:rPr/>
            </w:pPr>
            <w:r>
              <w:rPr>
                <w:i/>
                <w:iCs/>
                <w:color w:val="555555"/>
                <w:sz w:val="18"/>
                <w:szCs w:val="18"/>
              </w:rPr>
              <w:t>Aug 2025 – Till Now</w:t>
            </w:r>
          </w:p>
          <w:p>
            <w:pPr>
              <w:pStyle w:val="Normal"/>
              <w:widowControl w:val="false"/>
              <w:spacing w:before="0" w:after="40"/>
              <w:jc w:val="right"/>
              <w:rPr/>
            </w:pPr>
            <w:r>
              <w:rPr/>
            </w:r>
          </w:p>
        </w:tc>
      </w:tr>
    </w:tbl>
    <w:p>
      <w:pPr>
        <w:pStyle w:val="Normal"/>
        <w:spacing w:before="100" w:after="40"/>
        <w:rPr/>
      </w:pPr>
      <w:r>
        <w:rPr>
          <w:b/>
          <w:bCs/>
          <w:color w:val="2E75B6"/>
        </w:rPr>
        <w:t>Modules: Core HR | Absence Management | Payroll | Benefits</w:t>
      </w:r>
    </w:p>
    <w:p>
      <w:pPr>
        <w:pStyle w:val="ListParagraph"/>
        <w:numPr>
          <w:ilvl w:val="0"/>
          <w:numId w:val="4"/>
        </w:numPr>
        <w:spacing w:before="40" w:after="40"/>
        <w:contextualSpacing w:val="false"/>
        <w:rPr/>
      </w:pPr>
      <w:r>
        <w:rPr>
          <w:color w:val="1A1A1A"/>
        </w:rPr>
        <w:t>Developed BI Publisher Reports with RTF, Excel, and E-Text templates; implemented automated email bursting notifications via SFTP and UCM delivery channels.</w:t>
      </w:r>
    </w:p>
    <w:p>
      <w:pPr>
        <w:pStyle w:val="ListParagraph"/>
        <w:numPr>
          <w:ilvl w:val="0"/>
          <w:numId w:val="5"/>
        </w:numPr>
        <w:spacing w:before="40" w:after="40"/>
        <w:contextualSpacing w:val="false"/>
        <w:rPr/>
      </w:pPr>
      <w:r>
        <w:rPr>
          <w:color w:val="1A1A1A"/>
        </w:rPr>
        <w:t>Leading HR and payroll data migration initiatives using HDL and HSDL, ensuring accurate and timely loading of employee master data, compensation structures, payroll elements, and organisational hierarchies into Oracle Fusion HCM Cloud.</w:t>
      </w:r>
    </w:p>
    <w:p>
      <w:pPr>
        <w:pStyle w:val="ListParagraph"/>
        <w:numPr>
          <w:ilvl w:val="0"/>
          <w:numId w:val="6"/>
        </w:numPr>
        <w:spacing w:before="40" w:after="40"/>
        <w:contextualSpacing w:val="false"/>
        <w:rPr/>
      </w:pPr>
      <w:r>
        <w:rPr>
          <w:color w:val="1A1A1A"/>
        </w:rPr>
        <w:t>Designed and maintained comprehensive HDL/HSDL data templates for Work Structures including Locations, Business Units, Departments, Jobs, and Grades, aligning with Target's global HR data standards.</w:t>
      </w:r>
    </w:p>
    <w:p>
      <w:pPr>
        <w:pStyle w:val="ListParagraph"/>
        <w:numPr>
          <w:ilvl w:val="0"/>
          <w:numId w:val="7"/>
        </w:numPr>
        <w:spacing w:before="40" w:after="40"/>
        <w:contextualSpacing w:val="false"/>
        <w:rPr/>
      </w:pPr>
      <w:r>
        <w:rPr>
          <w:color w:val="1A1A1A"/>
        </w:rPr>
        <w:t>Developed and executed mock migration cycles, documenting findings and coordinating corrective actions with HR and payroll teams ahead of go-live.</w:t>
      </w:r>
    </w:p>
    <w:p>
      <w:pPr>
        <w:pStyle w:val="ListParagraph"/>
        <w:numPr>
          <w:ilvl w:val="0"/>
          <w:numId w:val="8"/>
        </w:numPr>
        <w:spacing w:before="40" w:after="40"/>
        <w:contextualSpacing w:val="false"/>
        <w:rPr/>
      </w:pPr>
      <w:r>
        <w:rPr>
          <w:color w:val="1A1A1A"/>
        </w:rPr>
        <w:t>Built outbound HCM Extracts for payroll processing, benefits integrations, and third-party vendor feeds, including Changes-Only mode extracts for downstream system synchronisation.</w:t>
      </w:r>
    </w:p>
    <w:p>
      <w:pPr>
        <w:pStyle w:val="ListParagraph"/>
        <w:numPr>
          <w:ilvl w:val="0"/>
          <w:numId w:val="9"/>
        </w:numPr>
        <w:spacing w:before="40" w:after="40"/>
        <w:contextualSpacing w:val="false"/>
        <w:rPr/>
      </w:pPr>
      <w:r>
        <w:rPr>
          <w:color w:val="1A1A1A"/>
        </w:rPr>
        <w:t>Wrote advanced SQL queries for data extraction, cross-system validation, and reconciliation reporting to support audit and compliance requirements.</w:t>
      </w:r>
    </w:p>
    <w:p>
      <w:pPr>
        <w:pStyle w:val="ListParagraph"/>
        <w:numPr>
          <w:ilvl w:val="0"/>
          <w:numId w:val="10"/>
        </w:numPr>
        <w:spacing w:before="40" w:after="40"/>
        <w:contextualSpacing w:val="false"/>
        <w:rPr/>
      </w:pPr>
      <w:r>
        <w:rPr>
          <w:color w:val="1A1A1A"/>
        </w:rPr>
        <w:t>Maintained comprehensive migration artefacts including data mapping documents, migration validation logs, reconciliation reports, and issue trackers throughout all project phases.</w:t>
      </w:r>
    </w:p>
    <w:p>
      <w:pPr>
        <w:pStyle w:val="ListParagraph"/>
        <w:numPr>
          <w:ilvl w:val="0"/>
          <w:numId w:val="11"/>
        </w:numPr>
        <w:spacing w:before="40" w:after="40"/>
        <w:contextualSpacing w:val="false"/>
        <w:rPr/>
      </w:pPr>
      <w:r>
        <w:rPr>
          <w:color w:val="1A1A1A"/>
        </w:rPr>
        <w:t>Collaborated closely with HR Business Partners, Payroll Managers, and implementation teams to ensure data sign-off milestones and go-live readiness were met on schedule.</w:t>
      </w:r>
    </w:p>
    <w:p>
      <w:pPr>
        <w:pStyle w:val="ListParagraph"/>
        <w:numPr>
          <w:ilvl w:val="0"/>
          <w:numId w:val="12"/>
        </w:numPr>
        <w:spacing w:before="40" w:after="40"/>
        <w:contextualSpacing w:val="false"/>
        <w:rPr/>
      </w:pPr>
      <w:r>
        <w:rPr>
          <w:color w:val="1A1A1A"/>
        </w:rPr>
        <w:t>Managed Oracle Fusion Security configuration encompassing Role Provisioning, Data Roles, Job Roles, Abstract Roles, and Security Profiles to ensure appropriate data access controls.</w:t>
      </w:r>
    </w:p>
    <w:p>
      <w:pPr>
        <w:pStyle w:val="Normal"/>
        <w:spacing w:before="60" w:after="60"/>
        <w:rPr/>
      </w:pPr>
      <w:r>
        <w:rPr/>
      </w:r>
    </w:p>
    <w:tbl>
      <w:tblPr>
        <w:tblW w:w="9360" w:type="dxa"/>
        <w:jc w:val="left"/>
        <w:tblInd w:w="0" w:type="dxa"/>
        <w:tblLayout w:type="fixed"/>
        <w:tblCellMar>
          <w:top w:w="0" w:type="dxa"/>
          <w:left w:w="10" w:type="dxa"/>
          <w:bottom w:w="0" w:type="dxa"/>
          <w:right w:w="10" w:type="dxa"/>
        </w:tblCellMar>
        <w:tblLook w:val="04a0"/>
      </w:tblPr>
      <w:tblGrid>
        <w:gridCol w:w="5499"/>
        <w:gridCol w:w="3860"/>
      </w:tblGrid>
      <w:tr>
        <w:trPr/>
        <w:tc>
          <w:tcPr>
            <w:tcW w:w="5499" w:type="dxa"/>
            <w:tcBorders/>
          </w:tcPr>
          <w:p>
            <w:pPr>
              <w:pStyle w:val="Normal"/>
              <w:widowControl w:val="false"/>
              <w:spacing w:before="120" w:after="20"/>
              <w:rPr/>
            </w:pPr>
            <w:r>
              <w:rPr>
                <w:b/>
                <w:bCs/>
                <w:color w:val="1F4E79"/>
                <w:sz w:val="22"/>
                <w:szCs w:val="22"/>
              </w:rPr>
              <w:t>Oracle Fusion HCM Techno Functional Consultant</w:t>
            </w:r>
          </w:p>
          <w:p>
            <w:pPr>
              <w:pStyle w:val="Normal"/>
              <w:widowControl w:val="false"/>
              <w:spacing w:before="0" w:after="40"/>
              <w:rPr/>
            </w:pPr>
            <w:r>
              <w:rPr>
                <w:b/>
                <w:bCs/>
                <w:color w:val="555555"/>
              </w:rPr>
              <w:t>Omnisoft Systems Pvt Limited (Client: Travelport)</w:t>
            </w:r>
          </w:p>
        </w:tc>
        <w:tc>
          <w:tcPr>
            <w:tcW w:w="3860" w:type="dxa"/>
            <w:tcBorders/>
            <w:vAlign w:val="center"/>
          </w:tcPr>
          <w:p>
            <w:pPr>
              <w:pStyle w:val="Normal"/>
              <w:widowControl w:val="false"/>
              <w:spacing w:before="60" w:after="20"/>
              <w:jc w:val="right"/>
              <w:rPr/>
            </w:pPr>
            <w:r>
              <w:rPr>
                <w:i/>
                <w:iCs/>
                <w:color w:val="555555"/>
                <w:sz w:val="18"/>
                <w:szCs w:val="18"/>
              </w:rPr>
              <w:t>Jul 2023 – Jun 2025</w:t>
            </w:r>
          </w:p>
          <w:p>
            <w:pPr>
              <w:pStyle w:val="Normal"/>
              <w:widowControl w:val="false"/>
              <w:spacing w:before="0" w:after="40"/>
              <w:jc w:val="right"/>
              <w:rPr/>
            </w:pPr>
            <w:r>
              <w:rPr/>
            </w:r>
          </w:p>
        </w:tc>
      </w:tr>
    </w:tbl>
    <w:p>
      <w:pPr>
        <w:pStyle w:val="Normal"/>
        <w:spacing w:before="100" w:after="40"/>
        <w:rPr/>
      </w:pPr>
      <w:r>
        <w:rPr>
          <w:b/>
          <w:bCs/>
          <w:color w:val="2E75B6"/>
        </w:rPr>
        <w:t>Modules: Core HR | Absence Management | Payroll | Benefits</w:t>
      </w:r>
    </w:p>
    <w:p>
      <w:pPr>
        <w:pStyle w:val="ListParagraph"/>
        <w:numPr>
          <w:ilvl w:val="0"/>
          <w:numId w:val="13"/>
        </w:numPr>
        <w:spacing w:before="40" w:after="40"/>
        <w:contextualSpacing w:val="false"/>
        <w:rPr/>
      </w:pPr>
      <w:r>
        <w:rPr>
          <w:color w:val="1A1A1A"/>
        </w:rPr>
        <w:t>Led end-to-end HR and payroll data migration activities using HDL and HSDL templates, ensuring accurate loading of employee master data, compensation, payroll elements, and organisational structures.</w:t>
      </w:r>
    </w:p>
    <w:p>
      <w:pPr>
        <w:pStyle w:val="ListParagraph"/>
        <w:numPr>
          <w:ilvl w:val="0"/>
          <w:numId w:val="14"/>
        </w:numPr>
        <w:spacing w:before="40" w:after="40"/>
        <w:contextualSpacing w:val="false"/>
        <w:rPr/>
      </w:pPr>
      <w:r>
        <w:rPr>
          <w:color w:val="1A1A1A"/>
        </w:rPr>
        <w:t>Designed and maintained HDL/HSDL templates for data conversions covering Work Structures — Location, Organisation, Job, and Grade — into Oracle Fusion HCM.</w:t>
      </w:r>
    </w:p>
    <w:p>
      <w:pPr>
        <w:pStyle w:val="ListParagraph"/>
        <w:numPr>
          <w:ilvl w:val="0"/>
          <w:numId w:val="15"/>
        </w:numPr>
        <w:spacing w:before="40" w:after="40"/>
        <w:contextualSpacing w:val="false"/>
        <w:rPr/>
      </w:pPr>
      <w:r>
        <w:rPr>
          <w:color w:val="1A1A1A"/>
        </w:rPr>
        <w:t>Conducted end-to-end data reconciliation between source systems and Oracle HCM Cloud, proactively identifying and resolving data anomalies, duplicates, and mapping gaps.</w:t>
      </w:r>
    </w:p>
    <w:p>
      <w:pPr>
        <w:pStyle w:val="ListParagraph"/>
        <w:numPr>
          <w:ilvl w:val="0"/>
          <w:numId w:val="16"/>
        </w:numPr>
        <w:spacing w:before="40" w:after="40"/>
        <w:contextualSpacing w:val="false"/>
        <w:rPr/>
      </w:pPr>
      <w:r>
        <w:rPr>
          <w:color w:val="1A1A1A"/>
        </w:rPr>
        <w:t>Performed data extraction, cleansing, transformation, and validation to ensure data integrity prior to each migration cycle, including mock runs and final go-live.</w:t>
      </w:r>
    </w:p>
    <w:p>
      <w:pPr>
        <w:pStyle w:val="ListParagraph"/>
        <w:numPr>
          <w:ilvl w:val="0"/>
          <w:numId w:val="17"/>
        </w:numPr>
        <w:spacing w:before="40" w:after="40"/>
        <w:contextualSpacing w:val="false"/>
        <w:rPr/>
      </w:pPr>
      <w:r>
        <w:rPr>
          <w:color w:val="1A1A1A"/>
        </w:rPr>
        <w:t>Built outbound HCM Extracts for payroll, benefits, and third-party vendor integrations, including Changes-Only mode extracts.</w:t>
      </w:r>
    </w:p>
    <w:p>
      <w:pPr>
        <w:pStyle w:val="ListParagraph"/>
        <w:numPr>
          <w:ilvl w:val="0"/>
          <w:numId w:val="18"/>
        </w:numPr>
        <w:spacing w:before="40" w:after="40"/>
        <w:contextualSpacing w:val="false"/>
        <w:rPr/>
      </w:pPr>
      <w:r>
        <w:rPr>
          <w:color w:val="1A1A1A"/>
        </w:rPr>
        <w:t>Collaborated with HR, payroll, and implementation teams to coordinate migration timelines, data sign-offs, and reconciliation reports.</w:t>
      </w:r>
    </w:p>
    <w:p>
      <w:pPr>
        <w:pStyle w:val="ListParagraph"/>
        <w:numPr>
          <w:ilvl w:val="0"/>
          <w:numId w:val="19"/>
        </w:numPr>
        <w:spacing w:before="40" w:after="40"/>
        <w:contextualSpacing w:val="false"/>
        <w:rPr/>
      </w:pPr>
      <w:r>
        <w:rPr>
          <w:color w:val="1A1A1A"/>
        </w:rPr>
        <w:t>Managed Oracle Fusion Security configuration including Role Provisioning, Data Roles, Job Roles, and Security Profiles for data access compliance.</w:t>
      </w:r>
    </w:p>
    <w:p>
      <w:pPr>
        <w:pStyle w:val="ListParagraph"/>
        <w:numPr>
          <w:ilvl w:val="0"/>
          <w:numId w:val="20"/>
        </w:numPr>
        <w:spacing w:before="40" w:after="40"/>
        <w:contextualSpacing w:val="false"/>
        <w:rPr/>
      </w:pPr>
      <w:r>
        <w:rPr>
          <w:color w:val="1A1A1A"/>
        </w:rPr>
        <w:t>Wrote complex SQL queries for data extraction, validation, and cross-system reconciliation to support migration activities.</w:t>
      </w:r>
    </w:p>
    <w:p>
      <w:pPr>
        <w:pStyle w:val="ListParagraph"/>
        <w:numPr>
          <w:ilvl w:val="0"/>
          <w:numId w:val="21"/>
        </w:numPr>
        <w:spacing w:before="40" w:after="40"/>
        <w:contextualSpacing w:val="false"/>
        <w:rPr/>
      </w:pPr>
      <w:r>
        <w:rPr>
          <w:color w:val="1A1A1A"/>
        </w:rPr>
        <w:t>Maintained migration documentation including data mapping documents, validation logs, and reconciliation reports across all project phases.</w:t>
      </w:r>
    </w:p>
    <w:p>
      <w:pPr>
        <w:pStyle w:val="Normal"/>
        <w:spacing w:before="40" w:after="40"/>
        <w:rPr/>
      </w:pPr>
      <w:r>
        <w:rPr/>
      </w:r>
    </w:p>
    <w:p>
      <w:pPr>
        <w:pStyle w:val="Normal"/>
        <w:spacing w:before="40" w:after="40"/>
        <w:rPr/>
      </w:pPr>
      <w:r>
        <w:rPr/>
      </w:r>
    </w:p>
    <w:p>
      <w:pPr>
        <w:pStyle w:val="Normal"/>
        <w:spacing w:before="60" w:after="60"/>
        <w:rPr/>
      </w:pPr>
      <w:r>
        <w:rPr/>
      </w:r>
    </w:p>
    <w:tbl>
      <w:tblPr>
        <w:tblW w:w="9360" w:type="dxa"/>
        <w:jc w:val="left"/>
        <w:tblInd w:w="0" w:type="dxa"/>
        <w:tblLayout w:type="fixed"/>
        <w:tblCellMar>
          <w:top w:w="0" w:type="dxa"/>
          <w:left w:w="10" w:type="dxa"/>
          <w:bottom w:w="0" w:type="dxa"/>
          <w:right w:w="10" w:type="dxa"/>
        </w:tblCellMar>
        <w:tblLook w:val="04a0"/>
      </w:tblPr>
      <w:tblGrid>
        <w:gridCol w:w="5499"/>
        <w:gridCol w:w="3860"/>
      </w:tblGrid>
      <w:tr>
        <w:trPr/>
        <w:tc>
          <w:tcPr>
            <w:tcW w:w="5499" w:type="dxa"/>
            <w:tcBorders/>
          </w:tcPr>
          <w:p>
            <w:pPr>
              <w:pStyle w:val="Normal"/>
              <w:widowControl w:val="false"/>
              <w:spacing w:before="120" w:after="20"/>
              <w:rPr/>
            </w:pPr>
            <w:r>
              <w:rPr>
                <w:b/>
                <w:bCs/>
                <w:color w:val="1F4E79"/>
                <w:sz w:val="22"/>
                <w:szCs w:val="22"/>
              </w:rPr>
              <w:t>Oracle Fusion HCM Technical Consultant</w:t>
            </w:r>
          </w:p>
          <w:p>
            <w:pPr>
              <w:pStyle w:val="Normal"/>
              <w:widowControl w:val="false"/>
              <w:spacing w:before="0" w:after="40"/>
              <w:rPr/>
            </w:pPr>
            <w:r>
              <w:rPr>
                <w:b/>
                <w:bCs/>
                <w:color w:val="555555"/>
              </w:rPr>
              <w:t>Cognizant Ltd (Client: ETHARA)</w:t>
            </w:r>
          </w:p>
        </w:tc>
        <w:tc>
          <w:tcPr>
            <w:tcW w:w="3860" w:type="dxa"/>
            <w:tcBorders/>
            <w:vAlign w:val="center"/>
          </w:tcPr>
          <w:p>
            <w:pPr>
              <w:pStyle w:val="Normal"/>
              <w:widowControl w:val="false"/>
              <w:spacing w:before="60" w:after="20"/>
              <w:jc w:val="right"/>
              <w:rPr/>
            </w:pPr>
            <w:r>
              <w:rPr>
                <w:i/>
                <w:iCs/>
                <w:color w:val="555555"/>
                <w:sz w:val="18"/>
                <w:szCs w:val="18"/>
              </w:rPr>
              <w:t>April 2022 – Jun 2023</w:t>
            </w:r>
          </w:p>
          <w:p>
            <w:pPr>
              <w:pStyle w:val="Normal"/>
              <w:widowControl w:val="false"/>
              <w:spacing w:before="0" w:after="40"/>
              <w:jc w:val="right"/>
              <w:rPr/>
            </w:pPr>
            <w:r>
              <w:rPr/>
            </w:r>
          </w:p>
        </w:tc>
      </w:tr>
    </w:tbl>
    <w:p>
      <w:pPr>
        <w:pStyle w:val="Normal"/>
        <w:spacing w:before="100" w:after="40"/>
        <w:rPr/>
      </w:pPr>
      <w:r>
        <w:rPr>
          <w:b/>
          <w:bCs/>
          <w:color w:val="2E75B6"/>
        </w:rPr>
        <w:t xml:space="preserve">Modules: Core HR | Absence Management </w:t>
      </w:r>
    </w:p>
    <w:p>
      <w:pPr>
        <w:pStyle w:val="ListParagraph"/>
        <w:numPr>
          <w:ilvl w:val="0"/>
          <w:numId w:val="22"/>
        </w:numPr>
        <w:spacing w:before="40" w:after="40"/>
        <w:contextualSpacing w:val="false"/>
        <w:rPr/>
      </w:pPr>
      <w:r>
        <w:rPr>
          <w:color w:val="1A1A1A"/>
        </w:rPr>
        <w:t>Developed and maintained HDL and HSDL templates for data migration and data corrections across HR, Absence, and Time &amp; Labor modules.</w:t>
      </w:r>
    </w:p>
    <w:p>
      <w:pPr>
        <w:pStyle w:val="ListParagraph"/>
        <w:numPr>
          <w:ilvl w:val="0"/>
          <w:numId w:val="23"/>
        </w:numPr>
        <w:spacing w:before="40" w:after="40"/>
        <w:contextualSpacing w:val="false"/>
        <w:rPr/>
      </w:pPr>
      <w:r>
        <w:rPr>
          <w:color w:val="1A1A1A"/>
        </w:rPr>
        <w:t>Built HCM Extracts for Payroll, Benefits, and Time &amp; Labor outbound integrations, ensuring accurate and timely data feeds to downstream systems.</w:t>
      </w:r>
    </w:p>
    <w:p>
      <w:pPr>
        <w:pStyle w:val="ListParagraph"/>
        <w:numPr>
          <w:ilvl w:val="0"/>
          <w:numId w:val="24"/>
        </w:numPr>
        <w:spacing w:before="40" w:after="40"/>
        <w:contextualSpacing w:val="false"/>
        <w:rPr/>
      </w:pPr>
      <w:r>
        <w:rPr>
          <w:color w:val="1A1A1A"/>
        </w:rPr>
        <w:t>Authored Fast Formulas for Payroll Elements, Absence Plans, and Eligibility Profiles, supporting payroll compliance and error resolution.</w:t>
      </w:r>
    </w:p>
    <w:p>
      <w:pPr>
        <w:pStyle w:val="ListParagraph"/>
        <w:numPr>
          <w:ilvl w:val="0"/>
          <w:numId w:val="25"/>
        </w:numPr>
        <w:spacing w:before="40" w:after="40"/>
        <w:contextualSpacing w:val="false"/>
        <w:rPr/>
      </w:pPr>
      <w:r>
        <w:rPr>
          <w:color w:val="1A1A1A"/>
        </w:rPr>
        <w:t>Designed custom BI Publisher Reports and OTBI Dashboards to meet business reporting needs; handled e-text and RTF template development.</w:t>
      </w:r>
    </w:p>
    <w:p>
      <w:pPr>
        <w:pStyle w:val="ListParagraph"/>
        <w:numPr>
          <w:ilvl w:val="0"/>
          <w:numId w:val="26"/>
        </w:numPr>
        <w:spacing w:before="40" w:after="40"/>
        <w:contextualSpacing w:val="false"/>
        <w:rPr/>
      </w:pPr>
      <w:r>
        <w:rPr>
          <w:color w:val="1A1A1A"/>
        </w:rPr>
        <w:t>Analysed work schedules, time entry rules, time card layouts, and approval workflows in Oracle Time &amp; Labor.</w:t>
      </w:r>
    </w:p>
    <w:p>
      <w:pPr>
        <w:pStyle w:val="ListParagraph"/>
        <w:numPr>
          <w:ilvl w:val="0"/>
          <w:numId w:val="27"/>
        </w:numPr>
        <w:spacing w:before="40" w:after="40"/>
        <w:contextualSpacing w:val="false"/>
        <w:rPr/>
      </w:pPr>
      <w:r>
        <w:rPr>
          <w:color w:val="1A1A1A"/>
        </w:rPr>
        <w:t>Modified outbound interfaces and validated data privacy compliance in integration outputs.</w:t>
      </w:r>
    </w:p>
    <w:p>
      <w:pPr>
        <w:pStyle w:val="ListParagraph"/>
        <w:numPr>
          <w:ilvl w:val="0"/>
          <w:numId w:val="28"/>
        </w:numPr>
        <w:spacing w:before="40" w:after="40"/>
        <w:contextualSpacing w:val="false"/>
        <w:rPr/>
      </w:pPr>
      <w:r>
        <w:rPr>
          <w:color w:val="1A1A1A"/>
        </w:rPr>
        <w:t>Supported payroll error identification and resolution; contributed to parallel run activities and payroll reconciliation.</w:t>
      </w:r>
    </w:p>
    <w:p>
      <w:pPr>
        <w:pStyle w:val="ListParagraph"/>
        <w:numPr>
          <w:ilvl w:val="0"/>
          <w:numId w:val="29"/>
        </w:numPr>
        <w:spacing w:before="40" w:after="40"/>
        <w:contextualSpacing w:val="false"/>
        <w:rPr/>
      </w:pPr>
      <w:r>
        <w:rPr>
          <w:color w:val="1A1A1A"/>
        </w:rPr>
        <w:t>Performed data mapping and gap analysis between legacy HR system data structures and Oracle Fusion HCM target data models.</w:t>
      </w:r>
    </w:p>
    <w:p>
      <w:pPr>
        <w:pStyle w:val="ListParagraph"/>
        <w:numPr>
          <w:ilvl w:val="0"/>
          <w:numId w:val="30"/>
        </w:numPr>
        <w:spacing w:before="40" w:after="40"/>
        <w:contextualSpacing w:val="false"/>
        <w:rPr/>
      </w:pPr>
      <w:r>
        <w:rPr>
          <w:color w:val="1A1A1A"/>
        </w:rPr>
        <w:t>Assisted in preparation of data validation scripts and reconciliation reports to verify completeness and accuracy of migrated records.</w:t>
      </w:r>
    </w:p>
    <w:p>
      <w:pPr>
        <w:pStyle w:val="ListParagraph"/>
        <w:numPr>
          <w:ilvl w:val="0"/>
          <w:numId w:val="31"/>
        </w:numPr>
        <w:spacing w:before="40" w:after="40"/>
        <w:contextualSpacing w:val="false"/>
        <w:rPr/>
      </w:pPr>
      <w:r>
        <w:rPr>
          <w:color w:val="1A1A1A"/>
        </w:rPr>
        <w:t>Created email bursting notifications using BIP with SFTP and UCM delivery, automating report distribution to business stakeholders.</w:t>
      </w:r>
    </w:p>
    <w:p>
      <w:pPr>
        <w:pStyle w:val="Normal"/>
        <w:spacing w:before="60" w:after="60"/>
        <w:rPr/>
      </w:pPr>
      <w:r>
        <w:rPr/>
      </w:r>
    </w:p>
    <w:p>
      <w:pPr>
        <w:pStyle w:val="Normal"/>
        <w:pBdr>
          <w:bottom w:val="single" w:sz="8" w:space="2" w:color="2E75B6"/>
        </w:pBdr>
        <w:spacing w:before="200" w:after="60"/>
        <w:rPr/>
      </w:pPr>
      <w:r>
        <w:rPr>
          <w:b/>
          <w:bCs/>
          <w:color w:val="1F4E79"/>
          <w:sz w:val="24"/>
          <w:szCs w:val="24"/>
        </w:rPr>
        <w:t>EMPLOYMENT SUMMARY</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Look w:val="04a0"/>
      </w:tblPr>
      <w:tblGrid>
        <w:gridCol w:w="3200"/>
        <w:gridCol w:w="3200"/>
        <w:gridCol w:w="1599"/>
        <w:gridCol w:w="1360"/>
      </w:tblGrid>
      <w:tr>
        <w:trPr/>
        <w:tc>
          <w:tcPr>
            <w:tcW w:w="3200" w:type="dxa"/>
            <w:tcBorders/>
            <w:shd w:color="auto" w:fill="1F4E79" w:val="clear"/>
          </w:tcPr>
          <w:p>
            <w:pPr>
              <w:pStyle w:val="Normal"/>
              <w:widowControl w:val="false"/>
              <w:rPr/>
            </w:pPr>
            <w:r>
              <w:rPr>
                <w:b/>
                <w:bCs/>
                <w:color w:val="FFFFFF"/>
                <w:sz w:val="19"/>
                <w:szCs w:val="19"/>
              </w:rPr>
              <w:t>Organisation</w:t>
            </w:r>
          </w:p>
        </w:tc>
        <w:tc>
          <w:tcPr>
            <w:tcW w:w="3200" w:type="dxa"/>
            <w:tcBorders/>
            <w:shd w:color="auto" w:fill="1F4E79" w:val="clear"/>
          </w:tcPr>
          <w:p>
            <w:pPr>
              <w:pStyle w:val="Normal"/>
              <w:widowControl w:val="false"/>
              <w:rPr/>
            </w:pPr>
            <w:r>
              <w:rPr>
                <w:b/>
                <w:bCs/>
                <w:color w:val="FFFFFF"/>
                <w:sz w:val="19"/>
                <w:szCs w:val="19"/>
              </w:rPr>
              <w:t>Designation</w:t>
            </w:r>
          </w:p>
        </w:tc>
        <w:tc>
          <w:tcPr>
            <w:tcW w:w="1599" w:type="dxa"/>
            <w:tcBorders/>
            <w:shd w:color="auto" w:fill="1F4E79" w:val="clear"/>
          </w:tcPr>
          <w:p>
            <w:pPr>
              <w:pStyle w:val="Normal"/>
              <w:widowControl w:val="false"/>
              <w:rPr/>
            </w:pPr>
            <w:r>
              <w:rPr>
                <w:b/>
                <w:bCs/>
                <w:color w:val="FFFFFF"/>
                <w:sz w:val="19"/>
                <w:szCs w:val="19"/>
              </w:rPr>
              <w:t>Duration</w:t>
            </w:r>
          </w:p>
        </w:tc>
        <w:tc>
          <w:tcPr>
            <w:tcW w:w="1360" w:type="dxa"/>
            <w:tcBorders/>
            <w:shd w:color="auto" w:fill="1F4E79" w:val="clear"/>
          </w:tcPr>
          <w:p>
            <w:pPr>
              <w:pStyle w:val="Normal"/>
              <w:widowControl w:val="false"/>
              <w:rPr/>
            </w:pPr>
            <w:r>
              <w:rPr>
                <w:b/>
                <w:bCs/>
                <w:color w:val="FFFFFF"/>
                <w:sz w:val="19"/>
                <w:szCs w:val="19"/>
              </w:rPr>
              <w:t>Location</w:t>
            </w:r>
          </w:p>
        </w:tc>
      </w:tr>
      <w:tr>
        <w:trPr/>
        <w:tc>
          <w:tcPr>
            <w:tcW w:w="32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tcPr>
          <w:p>
            <w:pPr>
              <w:pStyle w:val="Normal"/>
              <w:widowControl w:val="false"/>
              <w:rPr/>
            </w:pPr>
            <w:r>
              <w:rPr>
                <w:color w:val="1A1A1A"/>
                <w:sz w:val="18"/>
                <w:szCs w:val="18"/>
              </w:rPr>
              <w:t xml:space="preserve">Capgemini  </w:t>
            </w:r>
          </w:p>
        </w:tc>
        <w:tc>
          <w:tcPr>
            <w:tcW w:w="32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tcPr>
          <w:p>
            <w:pPr>
              <w:pStyle w:val="Normal"/>
              <w:widowControl w:val="false"/>
              <w:rPr/>
            </w:pPr>
            <w:r>
              <w:rPr>
                <w:color w:val="1A1A1A"/>
                <w:sz w:val="18"/>
                <w:szCs w:val="18"/>
              </w:rPr>
              <w:t>HCM Technical Consultant</w:t>
            </w:r>
          </w:p>
        </w:tc>
        <w:tc>
          <w:tcPr>
            <w:tcW w:w="15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tcPr>
          <w:p>
            <w:pPr>
              <w:pStyle w:val="Normal"/>
              <w:widowControl w:val="false"/>
              <w:rPr/>
            </w:pPr>
            <w:r>
              <w:rPr>
                <w:color w:val="1A1A1A"/>
                <w:sz w:val="18"/>
                <w:szCs w:val="18"/>
              </w:rPr>
              <w:t xml:space="preserve">Aug 2025 – Till Now </w:t>
            </w:r>
          </w:p>
        </w:tc>
        <w:tc>
          <w:tcPr>
            <w:tcW w:w="136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tcPr>
          <w:p>
            <w:pPr>
              <w:pStyle w:val="Normal"/>
              <w:widowControl w:val="false"/>
              <w:rPr/>
            </w:pPr>
            <w:r>
              <w:rPr>
                <w:color w:val="1A1A1A"/>
                <w:sz w:val="18"/>
                <w:szCs w:val="18"/>
              </w:rPr>
              <w:t xml:space="preserve">Bangalore </w:t>
            </w:r>
          </w:p>
        </w:tc>
      </w:tr>
      <w:tr>
        <w:trPr/>
        <w:tc>
          <w:tcPr>
            <w:tcW w:w="3200" w:type="dxa"/>
            <w:tcBorders>
              <w:top w:val="single" w:sz="4" w:space="0" w:color="000000"/>
              <w:left w:val="single" w:sz="4" w:space="0" w:color="000000"/>
              <w:bottom w:val="single" w:sz="4" w:space="0" w:color="000000"/>
              <w:right w:val="single" w:sz="4" w:space="0" w:color="000000"/>
            </w:tcBorders>
            <w:shd w:color="auto" w:fill="F2F7FB" w:val="clear"/>
            <w:tcMar>
              <w:top w:w="80" w:type="dxa"/>
              <w:bottom w:w="80" w:type="dxa"/>
            </w:tcMar>
          </w:tcPr>
          <w:p>
            <w:pPr>
              <w:pStyle w:val="Normal"/>
              <w:widowControl w:val="false"/>
              <w:rPr/>
            </w:pPr>
            <w:r>
              <w:rPr>
                <w:color w:val="1A1A1A"/>
                <w:sz w:val="18"/>
                <w:szCs w:val="18"/>
              </w:rPr>
              <w:t>Omnisoft Systems Pvt Limited</w:t>
            </w:r>
          </w:p>
        </w:tc>
        <w:tc>
          <w:tcPr>
            <w:tcW w:w="3200" w:type="dxa"/>
            <w:tcBorders>
              <w:top w:val="single" w:sz="4" w:space="0" w:color="000000"/>
              <w:left w:val="single" w:sz="4" w:space="0" w:color="000000"/>
              <w:bottom w:val="single" w:sz="4" w:space="0" w:color="000000"/>
              <w:right w:val="single" w:sz="4" w:space="0" w:color="000000"/>
            </w:tcBorders>
            <w:shd w:color="auto" w:fill="F2F7FB" w:val="clear"/>
            <w:tcMar>
              <w:top w:w="80" w:type="dxa"/>
              <w:bottom w:w="80" w:type="dxa"/>
            </w:tcMar>
          </w:tcPr>
          <w:p>
            <w:pPr>
              <w:pStyle w:val="Normal"/>
              <w:widowControl w:val="false"/>
              <w:rPr/>
            </w:pPr>
            <w:r>
              <w:rPr>
                <w:color w:val="1A1A1A"/>
                <w:sz w:val="18"/>
                <w:szCs w:val="18"/>
              </w:rPr>
              <w:t>HCM Techno Functional Consultant</w:t>
            </w:r>
          </w:p>
        </w:tc>
        <w:tc>
          <w:tcPr>
            <w:tcW w:w="1599" w:type="dxa"/>
            <w:tcBorders>
              <w:top w:val="single" w:sz="4" w:space="0" w:color="000000"/>
              <w:left w:val="single" w:sz="4" w:space="0" w:color="000000"/>
              <w:bottom w:val="single" w:sz="4" w:space="0" w:color="000000"/>
              <w:right w:val="single" w:sz="4" w:space="0" w:color="000000"/>
            </w:tcBorders>
            <w:shd w:color="auto" w:fill="F2F7FB" w:val="clear"/>
            <w:tcMar>
              <w:top w:w="80" w:type="dxa"/>
              <w:bottom w:w="80" w:type="dxa"/>
            </w:tcMar>
          </w:tcPr>
          <w:p>
            <w:pPr>
              <w:pStyle w:val="Normal"/>
              <w:widowControl w:val="false"/>
              <w:rPr/>
            </w:pPr>
            <w:r>
              <w:rPr>
                <w:color w:val="1A1A1A"/>
                <w:sz w:val="18"/>
                <w:szCs w:val="18"/>
              </w:rPr>
              <w:t>Jul 2023 – Jun 2025</w:t>
            </w:r>
          </w:p>
        </w:tc>
        <w:tc>
          <w:tcPr>
            <w:tcW w:w="1360" w:type="dxa"/>
            <w:tcBorders>
              <w:top w:val="single" w:sz="4" w:space="0" w:color="000000"/>
              <w:left w:val="single" w:sz="4" w:space="0" w:color="000000"/>
              <w:bottom w:val="single" w:sz="4" w:space="0" w:color="000000"/>
              <w:right w:val="single" w:sz="4" w:space="0" w:color="000000"/>
            </w:tcBorders>
            <w:shd w:color="auto" w:fill="F2F7FB" w:val="clear"/>
            <w:tcMar>
              <w:top w:w="80" w:type="dxa"/>
              <w:bottom w:w="80" w:type="dxa"/>
            </w:tcMar>
          </w:tcPr>
          <w:p>
            <w:pPr>
              <w:pStyle w:val="Normal"/>
              <w:widowControl w:val="false"/>
              <w:rPr/>
            </w:pPr>
            <w:r>
              <w:rPr>
                <w:color w:val="1A1A1A"/>
                <w:sz w:val="18"/>
                <w:szCs w:val="18"/>
              </w:rPr>
              <w:t>Hyderabad</w:t>
            </w:r>
          </w:p>
        </w:tc>
      </w:tr>
      <w:tr>
        <w:trPr/>
        <w:tc>
          <w:tcPr>
            <w:tcW w:w="32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tcPr>
          <w:p>
            <w:pPr>
              <w:pStyle w:val="Normal"/>
              <w:widowControl w:val="false"/>
              <w:rPr/>
            </w:pPr>
            <w:r>
              <w:rPr>
                <w:color w:val="1A1A1A"/>
                <w:sz w:val="18"/>
                <w:szCs w:val="18"/>
              </w:rPr>
              <w:t>Cognizant Ltd</w:t>
            </w:r>
          </w:p>
        </w:tc>
        <w:tc>
          <w:tcPr>
            <w:tcW w:w="320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tcPr>
          <w:p>
            <w:pPr>
              <w:pStyle w:val="Normal"/>
              <w:widowControl w:val="false"/>
              <w:rPr/>
            </w:pPr>
            <w:r>
              <w:rPr>
                <w:color w:val="1A1A1A"/>
                <w:sz w:val="18"/>
                <w:szCs w:val="18"/>
              </w:rPr>
              <w:t>ERP / HCM Consultant</w:t>
            </w:r>
          </w:p>
        </w:tc>
        <w:tc>
          <w:tcPr>
            <w:tcW w:w="1599"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tcPr>
          <w:p>
            <w:pPr>
              <w:pStyle w:val="Normal"/>
              <w:widowControl w:val="false"/>
              <w:rPr/>
            </w:pPr>
            <w:r>
              <w:rPr>
                <w:color w:val="1A1A1A"/>
                <w:sz w:val="18"/>
                <w:szCs w:val="18"/>
              </w:rPr>
              <w:t>April 2022 – Jun 2023</w:t>
            </w:r>
          </w:p>
        </w:tc>
        <w:tc>
          <w:tcPr>
            <w:tcW w:w="1360" w:type="dxa"/>
            <w:tcBorders>
              <w:top w:val="single" w:sz="4" w:space="0" w:color="000000"/>
              <w:left w:val="single" w:sz="4" w:space="0" w:color="000000"/>
              <w:bottom w:val="single" w:sz="4" w:space="0" w:color="000000"/>
              <w:right w:val="single" w:sz="4" w:space="0" w:color="000000"/>
            </w:tcBorders>
            <w:shd w:color="auto" w:fill="FFFFFF" w:val="clear"/>
            <w:tcMar>
              <w:top w:w="80" w:type="dxa"/>
              <w:bottom w:w="80" w:type="dxa"/>
            </w:tcMar>
          </w:tcPr>
          <w:p>
            <w:pPr>
              <w:pStyle w:val="Normal"/>
              <w:widowControl w:val="false"/>
              <w:rPr/>
            </w:pPr>
            <w:r>
              <w:rPr>
                <w:color w:val="1A1A1A"/>
                <w:sz w:val="18"/>
                <w:szCs w:val="18"/>
              </w:rPr>
              <w:t>Bangalore</w:t>
            </w:r>
          </w:p>
        </w:tc>
      </w:tr>
    </w:tbl>
    <w:p>
      <w:pPr>
        <w:pStyle w:val="Normal"/>
        <w:spacing w:before="60" w:after="60"/>
        <w:rPr/>
      </w:pPr>
      <w:r>
        <w:rPr/>
      </w:r>
    </w:p>
    <w:p>
      <w:pPr>
        <w:pStyle w:val="Normal"/>
        <w:pBdr>
          <w:bottom w:val="single" w:sz="8" w:space="2" w:color="2E75B6"/>
        </w:pBdr>
        <w:spacing w:before="200" w:after="60"/>
        <w:rPr/>
      </w:pPr>
      <w:r>
        <w:rPr>
          <w:b/>
          <w:bCs/>
          <w:color w:val="1F4E79"/>
          <w:sz w:val="24"/>
          <w:szCs w:val="24"/>
        </w:rPr>
        <w:t>EDUCATION</w:t>
      </w:r>
    </w:p>
    <w:p>
      <w:pPr>
        <w:pStyle w:val="Normal"/>
        <w:spacing w:before="60" w:after="60"/>
        <w:rPr/>
      </w:pPr>
      <w:r>
        <w:rPr/>
      </w:r>
    </w:p>
    <w:p>
      <w:pPr>
        <w:pStyle w:val="Normal"/>
        <w:spacing w:before="60" w:after="40"/>
        <w:rPr/>
      </w:pPr>
      <w:r>
        <w:rPr>
          <w:b/>
          <w:bCs/>
          <w:color w:val="1A1A1A"/>
        </w:rPr>
        <w:t>MBA — Sri Krishnadevaraya Institute of Management (SK University)</w:t>
      </w:r>
    </w:p>
    <w:p>
      <w:pPr>
        <w:pStyle w:val="Normal"/>
        <w:spacing w:before="0" w:after="60"/>
        <w:rPr/>
      </w:pPr>
      <w:r>
        <w:rPr>
          <w:color w:val="555555"/>
          <w:sz w:val="19"/>
          <w:szCs w:val="19"/>
        </w:rPr>
        <w:t>2020  |  India</w:t>
      </w:r>
    </w:p>
    <w:p>
      <w:pPr>
        <w:pStyle w:val="Normal"/>
        <w:rPr/>
      </w:pPr>
      <w:r>
        <w:rPr/>
      </w:r>
    </w:p>
    <w:p>
      <w:pPr>
        <w:pStyle w:val="Normal"/>
        <w:rPr/>
      </w:pPr>
      <w:r>
        <w:rPr/>
      </w:r>
    </w:p>
    <w:p>
      <w:pPr>
        <w:pStyle w:val="Normal"/>
        <w:rPr/>
      </w:pPr>
      <w:r>
        <w:rPr/>
        <mc:AlternateContent>
          <mc:Choice Requires="wps">
            <w:drawing>
              <wp:anchor behindDoc="0" distT="0" distB="0" distL="635" distR="0" simplePos="0" locked="0" layoutInCell="0" allowOverlap="1" relativeHeight="2">
                <wp:simplePos x="0" y="0"/>
                <wp:positionH relativeFrom="column">
                  <wp:posOffset>635</wp:posOffset>
                </wp:positionH>
                <wp:positionV relativeFrom="paragraph">
                  <wp:posOffset>635</wp:posOffset>
                </wp:positionV>
                <wp:extent cx="12700" cy="12700"/>
                <wp:effectExtent l="635" t="0" r="0" b="0"/>
                <wp:wrapNone/>
                <wp:docPr id="1" name="Shape1"/>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rect id="shape_0" ID="Shape1" path="m0,0l-2147483645,0l-2147483645,-2147483646l0,-2147483646xe" stroked="f" o:allowincell="f" style="position:absolute;margin-left:0.05pt;margin-top:0.05pt;width:0.95pt;height:0.95pt;mso-wrap-style:none;v-text-anchor:middle">
                <v:fill o:detectmouseclick="t" on="false"/>
                <v:stroke color="#3465a4" joinstyle="round" endcap="flat"/>
                <w10:wrap type="none"/>
              </v:rect>
            </w:pict>
          </mc:Fallback>
        </mc:AlternateContent>
      </w:r>
    </w:p>
    <w:sectPr>
      <w:type w:val="nextPage"/>
      <w:pgSz w:w="12240" w:h="15840"/>
      <w:pgMar w:left="1080" w:right="1080" w:gutter="0" w:header="0" w:top="900" w:footer="0" w:bottom="9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libri Light">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54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7463e"/>
    <w:pPr>
      <w:widowControl/>
      <w:suppressAutoHyphens w:val="true"/>
      <w:bidi w:val="0"/>
      <w:spacing w:lineRule="auto" w:line="240" w:before="0" w:after="0"/>
      <w:jc w:val="left"/>
    </w:pPr>
    <w:rPr>
      <w:rFonts w:ascii="Arial" w:hAnsi="Arial" w:eastAsia="Arial" w:cs="Arial"/>
      <w:color w:val="auto"/>
      <w:kern w:val="0"/>
      <w:sz w:val="20"/>
      <w:szCs w:val="20"/>
      <w:lang w:val="en-US" w:eastAsia="en-US" w:bidi="ar-SA"/>
      <w14:ligatures w14:val="none"/>
    </w:rPr>
  </w:style>
  <w:style w:type="paragraph" w:styleId="Heading1">
    <w:name w:val="Heading 1"/>
    <w:basedOn w:val="Normal"/>
    <w:next w:val="Normal"/>
    <w:link w:val="Heading1Char"/>
    <w:uiPriority w:val="9"/>
    <w:qFormat/>
    <w:rsid w:val="00b7463e"/>
    <w:pPr>
      <w:keepNext w:val="true"/>
      <w:keepLines/>
      <w:spacing w:before="360" w:after="80"/>
      <w:outlineLvl w:val="0"/>
    </w:pPr>
    <w:rPr>
      <w:rFonts w:ascii="Calibri Light" w:hAnsi="Calibri Light" w:eastAsia="" w:cs="" w:asciiTheme="majorHAnsi" w:cstheme="majorBidi" w:eastAsiaTheme="majorEastAsia" w:hAnsiTheme="majorHAnsi"/>
      <w:color w:val="2E74B5" w:themeColor="accent1" w:themeShade="bf"/>
      <w:sz w:val="40"/>
      <w:szCs w:val="40"/>
    </w:rPr>
  </w:style>
  <w:style w:type="paragraph" w:styleId="Heading2">
    <w:name w:val="Heading 2"/>
    <w:basedOn w:val="Normal"/>
    <w:next w:val="Normal"/>
    <w:link w:val="Heading2Char"/>
    <w:uiPriority w:val="9"/>
    <w:semiHidden/>
    <w:unhideWhenUsed/>
    <w:qFormat/>
    <w:rsid w:val="00b7463e"/>
    <w:pPr>
      <w:keepNext w:val="true"/>
      <w:keepLines/>
      <w:spacing w:before="160" w:after="80"/>
      <w:outlineLvl w:val="1"/>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Heading3">
    <w:name w:val="Heading 3"/>
    <w:basedOn w:val="Normal"/>
    <w:next w:val="Normal"/>
    <w:link w:val="Heading3Char"/>
    <w:uiPriority w:val="9"/>
    <w:semiHidden/>
    <w:unhideWhenUsed/>
    <w:qFormat/>
    <w:rsid w:val="00b7463e"/>
    <w:pPr>
      <w:keepNext w:val="true"/>
      <w:keepLines/>
      <w:spacing w:before="160" w:after="80"/>
      <w:outlineLvl w:val="2"/>
    </w:pPr>
    <w:rPr>
      <w:rFonts w:eastAsia="" w:cs="" w:cstheme="majorBidi" w:eastAsiaTheme="majorEastAsia"/>
      <w:color w:val="2E74B5" w:themeColor="accent1" w:themeShade="bf"/>
      <w:sz w:val="28"/>
      <w:szCs w:val="28"/>
    </w:rPr>
  </w:style>
  <w:style w:type="paragraph" w:styleId="Heading4">
    <w:name w:val="Heading 4"/>
    <w:basedOn w:val="Normal"/>
    <w:next w:val="Normal"/>
    <w:link w:val="Heading4Char"/>
    <w:uiPriority w:val="9"/>
    <w:semiHidden/>
    <w:unhideWhenUsed/>
    <w:qFormat/>
    <w:rsid w:val="00b7463e"/>
    <w:pPr>
      <w:keepNext w:val="true"/>
      <w:keepLines/>
      <w:spacing w:before="80" w:after="40"/>
      <w:outlineLvl w:val="3"/>
    </w:pPr>
    <w:rPr>
      <w:rFonts w:eastAsia="" w:cs="" w:cstheme="majorBidi" w:eastAsiaTheme="majorEastAsia"/>
      <w:i/>
      <w:iCs/>
      <w:color w:val="2E74B5" w:themeColor="accent1" w:themeShade="bf"/>
    </w:rPr>
  </w:style>
  <w:style w:type="paragraph" w:styleId="Heading5">
    <w:name w:val="Heading 5"/>
    <w:basedOn w:val="Normal"/>
    <w:next w:val="Normal"/>
    <w:link w:val="Heading5Char"/>
    <w:uiPriority w:val="9"/>
    <w:semiHidden/>
    <w:unhideWhenUsed/>
    <w:qFormat/>
    <w:rsid w:val="00b7463e"/>
    <w:pPr>
      <w:keepNext w:val="true"/>
      <w:keepLines/>
      <w:spacing w:before="80" w:after="40"/>
      <w:outlineLvl w:val="4"/>
    </w:pPr>
    <w:rPr>
      <w:rFonts w:eastAsia="" w:cs="" w:cstheme="majorBidi" w:eastAsiaTheme="majorEastAsia"/>
      <w:color w:val="2E74B5" w:themeColor="accent1" w:themeShade="bf"/>
    </w:rPr>
  </w:style>
  <w:style w:type="paragraph" w:styleId="Heading6">
    <w:name w:val="Heading 6"/>
    <w:basedOn w:val="Normal"/>
    <w:next w:val="Normal"/>
    <w:link w:val="Heading6Char"/>
    <w:uiPriority w:val="9"/>
    <w:semiHidden/>
    <w:unhideWhenUsed/>
    <w:qFormat/>
    <w:rsid w:val="00b7463e"/>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7463e"/>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b7463e"/>
    <w:pPr>
      <w:keepNext w:val="true"/>
      <w:keepLines/>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7463e"/>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b7463e"/>
    <w:rPr>
      <w:rFonts w:ascii="Calibri Light" w:hAnsi="Calibri Light" w:eastAsia="" w:cs="" w:asciiTheme="majorHAnsi" w:cstheme="majorBidi" w:eastAsiaTheme="majorEastAsia" w:hAnsiTheme="majorHAnsi"/>
      <w:color w:val="2E74B5" w:themeColor="accent1" w:themeShade="bf"/>
      <w:sz w:val="40"/>
      <w:szCs w:val="40"/>
    </w:rPr>
  </w:style>
  <w:style w:type="character" w:styleId="Heading2Char" w:customStyle="1">
    <w:name w:val="Heading 2 Char"/>
    <w:basedOn w:val="DefaultParagraphFont"/>
    <w:link w:val="Heading2"/>
    <w:uiPriority w:val="9"/>
    <w:semiHidden/>
    <w:qFormat/>
    <w:rsid w:val="00b7463e"/>
    <w:rPr>
      <w:rFonts w:ascii="Calibri Light" w:hAnsi="Calibri Light" w:eastAsia="" w:cs="" w:asciiTheme="majorHAnsi" w:cstheme="majorBidi" w:eastAsiaTheme="majorEastAsia" w:hAnsiTheme="majorHAnsi"/>
      <w:color w:val="2E74B5" w:themeColor="accent1" w:themeShade="bf"/>
      <w:sz w:val="32"/>
      <w:szCs w:val="32"/>
    </w:rPr>
  </w:style>
  <w:style w:type="character" w:styleId="Heading3Char" w:customStyle="1">
    <w:name w:val="Heading 3 Char"/>
    <w:basedOn w:val="DefaultParagraphFont"/>
    <w:link w:val="Heading3"/>
    <w:uiPriority w:val="9"/>
    <w:semiHidden/>
    <w:qFormat/>
    <w:rsid w:val="00b7463e"/>
    <w:rPr>
      <w:rFonts w:eastAsia="" w:cs="" w:cstheme="majorBidi" w:eastAsiaTheme="majorEastAsia"/>
      <w:color w:val="2E74B5" w:themeColor="accent1" w:themeShade="bf"/>
      <w:sz w:val="28"/>
      <w:szCs w:val="28"/>
    </w:rPr>
  </w:style>
  <w:style w:type="character" w:styleId="Heading4Char" w:customStyle="1">
    <w:name w:val="Heading 4 Char"/>
    <w:basedOn w:val="DefaultParagraphFont"/>
    <w:link w:val="Heading4"/>
    <w:uiPriority w:val="9"/>
    <w:semiHidden/>
    <w:qFormat/>
    <w:rsid w:val="00b7463e"/>
    <w:rPr>
      <w:rFonts w:eastAsia="" w:cs="" w:cstheme="majorBidi" w:eastAsiaTheme="majorEastAsia"/>
      <w:i/>
      <w:iCs/>
      <w:color w:val="2E74B5" w:themeColor="accent1" w:themeShade="bf"/>
    </w:rPr>
  </w:style>
  <w:style w:type="character" w:styleId="Heading5Char" w:customStyle="1">
    <w:name w:val="Heading 5 Char"/>
    <w:basedOn w:val="DefaultParagraphFont"/>
    <w:link w:val="Heading5"/>
    <w:uiPriority w:val="9"/>
    <w:semiHidden/>
    <w:qFormat/>
    <w:rsid w:val="00b7463e"/>
    <w:rPr>
      <w:rFonts w:eastAsia="" w:cs="" w:cstheme="majorBidi" w:eastAsiaTheme="majorEastAsia"/>
      <w:color w:val="2E74B5" w:themeColor="accent1" w:themeShade="bf"/>
    </w:rPr>
  </w:style>
  <w:style w:type="character" w:styleId="Heading6Char" w:customStyle="1">
    <w:name w:val="Heading 6 Char"/>
    <w:basedOn w:val="DefaultParagraphFont"/>
    <w:link w:val="Heading6"/>
    <w:uiPriority w:val="9"/>
    <w:semiHidden/>
    <w:qFormat/>
    <w:rsid w:val="00b7463e"/>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b7463e"/>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b7463e"/>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b7463e"/>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b7463e"/>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7463e"/>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b7463e"/>
    <w:rPr>
      <w:i/>
      <w:iCs/>
      <w:color w:val="404040" w:themeColor="text1" w:themeTint="bf"/>
    </w:rPr>
  </w:style>
  <w:style w:type="character" w:styleId="IntenseEmphasis">
    <w:name w:val="Intense Emphasis"/>
    <w:basedOn w:val="DefaultParagraphFont"/>
    <w:uiPriority w:val="21"/>
    <w:qFormat/>
    <w:rsid w:val="00b7463e"/>
    <w:rPr>
      <w:i/>
      <w:iCs/>
      <w:color w:val="2E74B5" w:themeColor="accent1" w:themeShade="bf"/>
    </w:rPr>
  </w:style>
  <w:style w:type="character" w:styleId="IntenseQuoteChar" w:customStyle="1">
    <w:name w:val="Intense Quote Char"/>
    <w:basedOn w:val="DefaultParagraphFont"/>
    <w:link w:val="IntenseQuote"/>
    <w:uiPriority w:val="30"/>
    <w:qFormat/>
    <w:rsid w:val="00b7463e"/>
    <w:rPr>
      <w:i/>
      <w:iCs/>
      <w:color w:val="2E74B5" w:themeColor="accent1" w:themeShade="bf"/>
    </w:rPr>
  </w:style>
  <w:style w:type="character" w:styleId="IntenseReference">
    <w:name w:val="Intense Reference"/>
    <w:basedOn w:val="DefaultParagraphFont"/>
    <w:uiPriority w:val="32"/>
    <w:qFormat/>
    <w:rsid w:val="00b7463e"/>
    <w:rPr>
      <w:b/>
      <w:bCs/>
      <w:smallCaps/>
      <w:color w:val="2E74B5"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b7463e"/>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7463e"/>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b7463e"/>
    <w:pPr>
      <w:spacing w:before="160" w:after="0"/>
      <w:jc w:val="center"/>
    </w:pPr>
    <w:rPr>
      <w:i/>
      <w:iCs/>
      <w:color w:val="404040" w:themeColor="text1" w:themeTint="bf"/>
    </w:rPr>
  </w:style>
  <w:style w:type="paragraph" w:styleId="ListParagraph">
    <w:name w:val="List Paragraph"/>
    <w:basedOn w:val="Normal"/>
    <w:qFormat/>
    <w:rsid w:val="00b7463e"/>
    <w:pPr>
      <w:spacing w:before="0" w:after="0"/>
      <w:ind w:left="720" w:hanging="0"/>
      <w:contextualSpacing/>
    </w:pPr>
    <w:rPr/>
  </w:style>
  <w:style w:type="paragraph" w:styleId="IntenseQuote">
    <w:name w:val="Intense Quote"/>
    <w:basedOn w:val="Normal"/>
    <w:next w:val="Normal"/>
    <w:link w:val="IntenseQuoteChar"/>
    <w:uiPriority w:val="30"/>
    <w:qFormat/>
    <w:rsid w:val="00b7463e"/>
    <w:pPr>
      <w:pBdr>
        <w:top w:val="single" w:sz="4" w:space="10" w:color="2E74B5"/>
        <w:bottom w:val="single" w:sz="4" w:space="10" w:color="2E74B5"/>
      </w:pBdr>
      <w:spacing w:before="360" w:after="360"/>
      <w:ind w:left="864" w:right="864" w:hanging="0"/>
      <w:jc w:val="center"/>
    </w:pPr>
    <w:rPr>
      <w:i/>
      <w:iCs/>
      <w:color w:val="2E74B5" w:themeColor="accent1" w:themeShade="bf"/>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Application>LibreOffice/7.3.7.2$Linux_X86_64 LibreOffice_project/30$Build-2</Application>
  <AppVersion>15.0000</AppVersion>
  <Pages>3</Pages>
  <Words>932</Words>
  <Characters>5944</Characters>
  <CharactersWithSpaces>6785</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2026-05-22T13:22:00Z</dcterms:created>
  <dc:creator>anil kumar</dc:creator>
  <dc:description/>
  <dc:language>en-IN</dc:language>
  <cp:lastModifiedBy/>
  <dcterms:modified xsi:type="dcterms:W3CDTF">2026-07-14T16:34:48Z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