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120"/>
      </w:pPr>
      <w:r>
        <w:rPr/>
        <w:t xml:space="preserve">Reporte general del proyecto Flutter</w:t>
      </w:r>
    </w:p>
    <w:p>
      <w:pPr>
        <w:spacing w:before="0" w:after="180"/>
      </w:pPr>
      <w:r>
        <w:rPr>
          <w:color w:val="555555"/>
          <w:sz w:val="21"/>
        </w:rPr>
        <w:t xml:space="preserve">NexaSoft Solutions | Paquete 01 | Mesa de incidencias</w:t>
      </w:r>
    </w:p>
    <w:p>
      <w:pPr>
        <w:spacing w:before="0" w:after="150"/>
      </w:pPr>
      <w:r>
        <w:rPr/>
        <w:t xml:space="preserve">Este reporte reúne las correcciones y mejoras realizadas en la aplicación Flutter de soporte de incidencias. La rama feat-001-002 contiene los cambios de BUG-001, BUG-002 y BUG-003, además de FEAT-001 y FEAT-002. El commit más reciente se publicó en GitHub; las pruebas automatizadas y el análisis estático finalizaron sin errores.</w:t>
      </w:r>
    </w:p>
    <w:p>
      <w:pPr>
        <w:pStyle w:val="Heading1"/>
        <w:spacing w:before="180" w:after="80"/>
        <w:keepNext/>
      </w:pPr>
      <w:r>
        <w:rPr/>
        <w:t xml:space="preserve">1. Datos del proyecto</w:t>
      </w:r>
    </w:p>
    <w:tbl>
      <w:tblPr>
        <w:tblW w:w="5000" w:type="pct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AAB7C4"/>
          <w:insideV w:val="single" w:sz="4" w:color="AAB7C4"/>
        </w:tblBorders>
        <w:tblCellMar>
          <w:top w:w="90" w:type="dxa"/>
          <w:start w:w="90" w:type="dxa"/>
          <w:bottom w:w="90" w:type="dxa"/>
          <w:end w:w="90" w:type="dxa"/>
        </w:tblCellMar>
      </w:tblPr>
      <w:tblGrid>
        <w:gridCol w:w="4500"/>
        <w:gridCol w:w="4500"/>
      </w:tblGrid>
      <w:tr>
        <w:trPr>
          <w:cantSplit/>
          <w:tblHeader/>
        </w:trPr>
        <w:tc>
          <w:tcPr>
            <w:tcW w:w="4500" w:type="dxa"/>
            <w:shd w:fill="17365D" w:val="clear"/>
          </w:tcPr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 xml:space="preserve">Dato</w:t>
            </w:r>
          </w:p>
        </w:tc>
        <w:tc>
          <w:tcPr>
            <w:tcW w:w="4500" w:type="dxa"/>
            <w:shd w:fill="17365D" w:val="clear"/>
          </w:tcPr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 xml:space="preserve">Información</w:t>
            </w:r>
          </w:p>
        </w:tc>
      </w:tr>
      <w:tr>
        <w:trPr>
          <w:cantSplit/>
        </w:trPr>
        <w:tc>
          <w:tcPr>
            <w:tcW w:w="4500" w:type="dxa"/>
            <w:shd w:fill="F2F6FA" w:val="clear"/>
          </w:tcPr>
          <w:p>
            <w:pPr>
              <w:spacing w:after="30"/>
            </w:pPr>
            <w:r>
              <w:rPr>
                <w:sz w:val="19"/>
              </w:rPr>
              <w:t xml:space="preserve">Proyecto</w:t>
            </w:r>
          </w:p>
        </w:tc>
        <w:tc>
          <w:tcPr>
            <w:tcW w:w="4500" w:type="dxa"/>
            <w:shd w:fill="F2F6FA" w:val="clear"/>
          </w:tcPr>
          <w:p>
            <w:pPr>
              <w:spacing w:after="30"/>
            </w:pPr>
            <w:r>
              <w:rPr>
                <w:sz w:val="19"/>
              </w:rPr>
              <w:t xml:space="preserve">NexaSoft: aplicación Flutter de incidencias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30"/>
            </w:pPr>
            <w:r>
              <w:rPr>
                <w:sz w:val="19"/>
              </w:rPr>
              <w:t xml:space="preserve">Autor / grupo</w:t>
            </w:r>
          </w:p>
        </w:tc>
        <w:tc>
          <w:tcPr>
            <w:tcW w:w="4500" w:type="dxa"/>
          </w:tcPr>
          <w:p>
            <w:pPr>
              <w:spacing w:after="30"/>
            </w:pPr>
            <w:r>
              <w:rPr>
                <w:sz w:val="19"/>
              </w:rPr>
              <w:t xml:space="preserve">Alonso Herrera Benavidez | 7A | Equipo Yo cholito</w:t>
            </w:r>
          </w:p>
        </w:tc>
      </w:tr>
      <w:tr>
        <w:trPr>
          <w:cantSplit/>
        </w:trPr>
        <w:tc>
          <w:tcPr>
            <w:tcW w:w="4500" w:type="dxa"/>
            <w:shd w:fill="F2F6FA" w:val="clear"/>
          </w:tcPr>
          <w:p>
            <w:pPr>
              <w:spacing w:after="30"/>
            </w:pPr>
            <w:r>
              <w:rPr>
                <w:sz w:val="19"/>
              </w:rPr>
              <w:t xml:space="preserve">Periodo de cambios</w:t>
            </w:r>
          </w:p>
        </w:tc>
        <w:tc>
          <w:tcPr>
            <w:tcW w:w="4500" w:type="dxa"/>
            <w:shd w:fill="F2F6FA" w:val="clear"/>
          </w:tcPr>
          <w:p>
            <w:pPr>
              <w:spacing w:after="30"/>
            </w:pPr>
            <w:r>
              <w:rPr>
                <w:sz w:val="19"/>
              </w:rPr>
              <w:t xml:space="preserve">14 al 17 de octubre de 2026 | Reporte integrado: 19 de octubre de 2026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30"/>
            </w:pPr>
            <w:r>
              <w:rPr>
                <w:sz w:val="19"/>
              </w:rPr>
              <w:t xml:space="preserve">Rama entregada</w:t>
            </w:r>
          </w:p>
        </w:tc>
        <w:tc>
          <w:tcPr>
            <w:tcW w:w="4500" w:type="dxa"/>
          </w:tcPr>
          <w:p>
            <w:pPr>
              <w:spacing w:after="30"/>
            </w:pPr>
            <w:r>
              <w:rPr>
                <w:sz w:val="19"/>
              </w:rPr>
              <w:t xml:space="preserve">feat-001-002 | Publicada en origin</w:t>
            </w:r>
          </w:p>
        </w:tc>
      </w:tr>
    </w:tbl>
    <w:p>
      <w:pPr>
        <w:spacing w:before="0" w:after="50"/>
      </w:pPr>
      <w:r>
        <w:rPr/>
        <w:t xml:space="preserve"/>
      </w:r>
    </w:p>
    <w:p>
      <w:pPr>
        <w:spacing w:before="0" w:after="120"/>
      </w:pPr>
      <w:r>
        <w:rPr/>
        <w:t xml:space="preserve">La aplicación carga incidencias de demostración y guarda los cambios localmente en el dispositivo. El alcance corresponde a una práctica; no agrega un servidor ni convierte los datos ficticios en registros operativos.</w:t>
      </w:r>
    </w:p>
    <w:p>
      <w:pPr>
        <w:pStyle w:val="Heading1"/>
        <w:spacing w:before="180" w:after="80"/>
        <w:keepNext/>
      </w:pPr>
      <w:r>
        <w:rPr/>
        <w:t xml:space="preserve">2. Correcciones de defectos</w:t>
      </w:r>
    </w:p>
    <w:tbl>
      <w:tblPr>
        <w:tblW w:w="5000" w:type="pct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AAB7C4"/>
          <w:insideV w:val="single" w:sz="4" w:color="AAB7C4"/>
        </w:tblBorders>
        <w:tblCellMar>
          <w:top w:w="90" w:type="dxa"/>
          <w:start w:w="90" w:type="dxa"/>
          <w:bottom w:w="90" w:type="dxa"/>
          <w:end w:w="90" w:type="dxa"/>
        </w:tblCellMar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w="3000" w:type="dxa"/>
            <w:shd w:fill="17365D" w:val="clear"/>
          </w:tcPr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 xml:space="preserve">Ticket</w:t>
            </w:r>
          </w:p>
        </w:tc>
        <w:tc>
          <w:tcPr>
            <w:tcW w:w="3000" w:type="dxa"/>
            <w:shd w:fill="17365D" w:val="clear"/>
          </w:tcPr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 xml:space="preserve">Problema observado</w:t>
            </w:r>
          </w:p>
        </w:tc>
        <w:tc>
          <w:tcPr>
            <w:tcW w:w="3000" w:type="dxa"/>
            <w:shd w:fill="17365D" w:val="clear"/>
          </w:tcPr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 xml:space="preserve">Corrección aplicada</w:t>
            </w:r>
          </w:p>
        </w:tc>
      </w:tr>
      <w:tr>
        <w:trPr>
          <w:cantSplit/>
        </w:trPr>
        <w:tc>
          <w:tcPr>
            <w:tcW w:w="3000" w:type="dxa"/>
            <w:shd w:fill="F2F6FA" w:val="clear"/>
          </w:tcPr>
          <w:p>
            <w:pPr>
              <w:spacing w:after="30"/>
            </w:pPr>
            <w:r>
              <w:rPr>
                <w:sz w:val="19"/>
              </w:rPr>
              <w:t xml:space="preserve">BUG-001 y BUG-003</w:t>
            </w:r>
          </w:p>
        </w:tc>
        <w:tc>
          <w:tcPr>
            <w:tcW w:w="3000" w:type="dxa"/>
            <w:shd w:fill="F2F6FA" w:val="clear"/>
          </w:tcPr>
          <w:p>
            <w:pPr>
              <w:spacing w:after="30"/>
            </w:pPr>
            <w:r>
              <w:rPr>
                <w:sz w:val="19"/>
              </w:rPr>
              <w:t xml:space="preserve">Al cambiar el estado, la lista no persistía el cambio y el contador de pendientes quedaba desactualizado.</w:t>
            </w:r>
          </w:p>
        </w:tc>
        <w:tc>
          <w:tcPr>
            <w:tcW w:w="3000" w:type="dxa"/>
            <w:shd w:fill="F2F6FA" w:val="clear"/>
          </w:tcPr>
          <w:p>
            <w:pPr>
              <w:spacing w:after="30"/>
            </w:pPr>
            <w:r>
              <w:rPr>
                <w:sz w:val="19"/>
              </w:rPr>
              <w:t xml:space="preserve">El gestor guarda el estado actualizado, recalcula el contador y vuelve a cargar el valor persistido al iniciar.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30"/>
            </w:pPr>
            <w:r>
              <w:rPr>
                <w:sz w:val="19"/>
              </w:rPr>
              <w:t xml:space="preserve">BUG-002</w:t>
            </w:r>
          </w:p>
        </w:tc>
        <w:tc>
          <w:tcPr>
            <w:tcW w:w="3000" w:type="dxa"/>
          </w:tcPr>
          <w:p>
            <w:pPr>
              <w:spacing w:after="30"/>
            </w:pPr>
            <w:r>
              <w:rPr>
                <w:sz w:val="19"/>
              </w:rPr>
              <w:t xml:space="preserve">La búsqueda solo revisaba el título y distinguía mayúsculas, por lo que omitía datos visibles en otros campos.</w:t>
            </w:r>
          </w:p>
        </w:tc>
        <w:tc>
          <w:tcPr>
            <w:tcW w:w="3000" w:type="dxa"/>
          </w:tcPr>
          <w:p>
            <w:pPr>
              <w:spacing w:after="30"/>
            </w:pPr>
            <w:r>
              <w:rPr>
                <w:sz w:val="19"/>
              </w:rPr>
              <w:t xml:space="preserve">La consulta ignora mayúsculas y espacios externos; busca en ID, título, descripción, cliente, categoría y estado.</w:t>
            </w:r>
          </w:p>
        </w:tc>
      </w:tr>
      <w:tr>
        <w:trPr>
          <w:cantSplit/>
        </w:trPr>
        <w:tc>
          <w:tcPr>
            <w:tcW w:w="3000" w:type="dxa"/>
            <w:shd w:fill="F2F6FA" w:val="clear"/>
          </w:tcPr>
          <w:p>
            <w:pPr>
              <w:spacing w:after="30"/>
            </w:pPr>
            <w:r>
              <w:rPr>
                <w:sz w:val="19"/>
              </w:rPr>
              <w:t xml:space="preserve">Compatibilidad y errores</w:t>
            </w:r>
          </w:p>
        </w:tc>
        <w:tc>
          <w:tcPr>
            <w:tcW w:w="3000" w:type="dxa"/>
            <w:shd w:fill="F2F6FA" w:val="clear"/>
          </w:tcPr>
          <w:p>
            <w:pPr>
              <w:spacing w:after="30"/>
            </w:pPr>
            <w:r>
              <w:rPr>
                <w:sz w:val="19"/>
              </w:rPr>
              <w:t xml:space="preserve">Había usos de propiedades de formularios no vigentes y acceso al contexto de interfaz después de una operación asíncrona.</w:t>
            </w:r>
          </w:p>
        </w:tc>
        <w:tc>
          <w:tcPr>
            <w:tcW w:w="3000" w:type="dxa"/>
            <w:shd w:fill="F2F6FA" w:val="clear"/>
          </w:tcPr>
          <w:p>
            <w:pPr>
              <w:spacing w:after="30"/>
            </w:pPr>
            <w:r>
              <w:rPr>
                <w:sz w:val="19"/>
              </w:rPr>
              <w:t xml:space="preserve">Se usa initialValue en los selectores y se conserva ScaffoldMessenger antes de esperar la confirmación de reinicio.</w:t>
            </w:r>
          </w:p>
        </w:tc>
      </w:tr>
    </w:tbl>
    <w:p>
      <w:pPr>
        <w:spacing w:before="0" w:after="50"/>
      </w:pPr>
      <w:r>
        <w:rPr/>
        <w:t xml:space="preserve"/>
      </w:r>
    </w:p>
    <w:p>
      <w:pPr>
        <w:pStyle w:val="Heading1"/>
        <w:spacing w:before="180" w:after="80"/>
        <w:keepNext/>
      </w:pPr>
      <w:r>
        <w:rPr/>
        <w:t xml:space="preserve">3. Funcionalidades nuevas</w:t>
      </w:r>
    </w:p>
    <w:tbl>
      <w:tblPr>
        <w:tblW w:w="5000" w:type="pct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AAB7C4"/>
          <w:insideV w:val="single" w:sz="4" w:color="AAB7C4"/>
        </w:tblBorders>
        <w:tblCellMar>
          <w:top w:w="90" w:type="dxa"/>
          <w:start w:w="90" w:type="dxa"/>
          <w:bottom w:w="90" w:type="dxa"/>
          <w:end w:w="90" w:type="dxa"/>
        </w:tblCellMar>
      </w:tblPr>
      <w:tblGrid>
        <w:gridCol w:w="4500"/>
        <w:gridCol w:w="4500"/>
      </w:tblGrid>
      <w:tr>
        <w:trPr>
          <w:cantSplit/>
          <w:tblHeader/>
        </w:trPr>
        <w:tc>
          <w:tcPr>
            <w:tcW w:w="4500" w:type="dxa"/>
            <w:shd w:fill="17365D" w:val="clear"/>
          </w:tcPr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 xml:space="preserve">Feature</w:t>
            </w:r>
          </w:p>
        </w:tc>
        <w:tc>
          <w:tcPr>
            <w:tcW w:w="4500" w:type="dxa"/>
            <w:shd w:fill="17365D" w:val="clear"/>
          </w:tcPr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 xml:space="preserve">Resultado implementado</w:t>
            </w:r>
          </w:p>
        </w:tc>
      </w:tr>
      <w:tr>
        <w:trPr>
          <w:cantSplit/>
        </w:trPr>
        <w:tc>
          <w:tcPr>
            <w:tcW w:w="4500" w:type="dxa"/>
            <w:shd w:fill="F2F6FA" w:val="clear"/>
          </w:tcPr>
          <w:p>
            <w:pPr>
              <w:spacing w:after="30"/>
            </w:pPr>
            <w:r>
              <w:rPr>
                <w:sz w:val="19"/>
              </w:rPr>
              <w:t xml:space="preserve">FEAT-001 | Prioridad</w:t>
            </w:r>
          </w:p>
        </w:tc>
        <w:tc>
          <w:tcPr>
            <w:tcW w:w="4500" w:type="dxa"/>
            <w:shd w:fill="F2F6FA" w:val="clear"/>
          </w:tcPr>
          <w:p>
            <w:pPr>
              <w:spacing w:after="30"/>
            </w:pPr>
            <w:r>
              <w:rPr>
                <w:sz w:val="19"/>
              </w:rPr>
              <w:t xml:space="preserve">Permite asignar Baja, Media o Alta al crear una incidencia; muestra y permite editar la prioridad en detalle; conserva el dato localmente. Registros antiguos o con valor desconocido usan Media.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30"/>
            </w:pPr>
            <w:r>
              <w:rPr>
                <w:sz w:val="19"/>
              </w:rPr>
              <w:t xml:space="preserve">FEAT-002 | Filtros combinables</w:t>
            </w:r>
          </w:p>
        </w:tc>
        <w:tc>
          <w:tcPr>
            <w:tcW w:w="4500" w:type="dxa"/>
          </w:tcPr>
          <w:p>
            <w:pPr>
              <w:spacing w:after="30"/>
            </w:pPr>
            <w:r>
              <w:rPr>
                <w:sz w:val="19"/>
              </w:rPr>
              <w:t xml:space="preserve">Combina búsqueda de texto, estado y prioridad. Incluye acción para limpiar todos los filtros y mensaje cuando no hay coincidencias.</w:t>
            </w:r>
          </w:p>
        </w:tc>
      </w:tr>
    </w:tbl>
    <w:p>
      <w:pPr>
        <w:spacing w:before="0" w:after="50"/>
      </w:pPr>
      <w:r>
        <w:rPr/>
        <w:t xml:space="preserve"/>
      </w:r>
    </w:p>
    <w:p>
      <w:pPr>
        <w:spacing w:before="0" w:after="120"/>
      </w:pPr>
      <w:r>
        <w:rPr/>
        <w:t xml:space="preserve">Los estados disponibles siguen siendo Pendiente, En proceso y Resuelta. La búsqueda y los filtros no alteran los contadores generales de incidencias.</w:t>
      </w:r>
    </w:p>
    <w:p>
      <w:pPr>
        <w:pStyle w:val="Heading1"/>
        <w:spacing w:before="180" w:after="80"/>
        <w:keepNext/>
      </w:pPr>
      <w:r>
        <w:rPr/>
        <w:t xml:space="preserve">4. Archivos modificados</w:t>
      </w:r>
    </w:p>
    <w:tbl>
      <w:tblPr>
        <w:tblW w:w="5000" w:type="pct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AAB7C4"/>
          <w:insideV w:val="single" w:sz="4" w:color="AAB7C4"/>
        </w:tblBorders>
        <w:tblCellMar>
          <w:top w:w="90" w:type="dxa"/>
          <w:start w:w="90" w:type="dxa"/>
          <w:bottom w:w="90" w:type="dxa"/>
          <w:end w:w="90" w:type="dxa"/>
        </w:tblCellMar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w="3000" w:type="dxa"/>
            <w:shd w:fill="17365D" w:val="clear"/>
          </w:tcPr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 xml:space="preserve">Área</w:t>
            </w:r>
          </w:p>
        </w:tc>
        <w:tc>
          <w:tcPr>
            <w:tcW w:w="3000" w:type="dxa"/>
            <w:shd w:fill="17365D" w:val="clear"/>
          </w:tcPr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 xml:space="preserve">Archivos</w:t>
            </w:r>
          </w:p>
        </w:tc>
        <w:tc>
          <w:tcPr>
            <w:tcW w:w="3000" w:type="dxa"/>
            <w:shd w:fill="17365D" w:val="clear"/>
          </w:tcPr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w="3000" w:type="dxa"/>
            <w:shd w:fill="F2F6FA" w:val="clear"/>
          </w:tcPr>
          <w:p>
            <w:pPr>
              <w:spacing w:after="30"/>
            </w:pPr>
            <w:r>
              <w:rPr>
                <w:sz w:val="19"/>
              </w:rPr>
              <w:t xml:space="preserve">Datos y modelo</w:t>
            </w:r>
          </w:p>
        </w:tc>
        <w:tc>
          <w:tcPr>
            <w:tcW w:w="3000" w:type="dxa"/>
            <w:shd w:fill="F2F6FA" w:val="clear"/>
          </w:tcPr>
          <w:p>
            <w:pPr>
              <w:spacing w:after="30"/>
            </w:pPr>
            <w:r>
              <w:rPr>
                <w:sz w:val="19"/>
              </w:rPr>
              <w:t xml:space="preserve">lib/data/almacen_local.dart; lib/model/incidencia.dart</w:t>
            </w:r>
          </w:p>
        </w:tc>
        <w:tc>
          <w:tcPr>
            <w:tcW w:w="3000" w:type="dxa"/>
            <w:shd w:fill="F2F6FA" w:val="clear"/>
          </w:tcPr>
          <w:p>
            <w:pPr>
              <w:spacing w:after="30"/>
            </w:pPr>
            <w:r>
              <w:rPr>
                <w:sz w:val="19"/>
              </w:rPr>
              <w:t xml:space="preserve">Persistencia local y conversión segura de prioridad.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30"/>
            </w:pPr>
            <w:r>
              <w:rPr>
                <w:sz w:val="19"/>
              </w:rPr>
              <w:t xml:space="preserve">Lógica</w:t>
            </w:r>
          </w:p>
        </w:tc>
        <w:tc>
          <w:tcPr>
            <w:tcW w:w="3000" w:type="dxa"/>
          </w:tcPr>
          <w:p>
            <w:pPr>
              <w:spacing w:after="30"/>
            </w:pPr>
            <w:r>
              <w:rPr>
                <w:sz w:val="19"/>
              </w:rPr>
              <w:t xml:space="preserve">lib/services/gestor_incidencias.dart</w:t>
            </w:r>
          </w:p>
        </w:tc>
        <w:tc>
          <w:tcPr>
            <w:tcW w:w="3000" w:type="dxa"/>
          </w:tcPr>
          <w:p>
            <w:pPr>
              <w:spacing w:after="30"/>
            </w:pPr>
            <w:r>
              <w:rPr>
                <w:sz w:val="19"/>
              </w:rPr>
              <w:t xml:space="preserve">Búsqueda, filtros, validación, guardado y conteos.</w:t>
            </w:r>
          </w:p>
        </w:tc>
      </w:tr>
      <w:tr>
        <w:trPr>
          <w:cantSplit/>
        </w:trPr>
        <w:tc>
          <w:tcPr>
            <w:tcW w:w="3000" w:type="dxa"/>
            <w:shd w:fill="F2F6FA" w:val="clear"/>
          </w:tcPr>
          <w:p>
            <w:pPr>
              <w:spacing w:after="30"/>
            </w:pPr>
            <w:r>
              <w:rPr>
                <w:sz w:val="19"/>
              </w:rPr>
              <w:t xml:space="preserve">Interfaz</w:t>
            </w:r>
          </w:p>
        </w:tc>
        <w:tc>
          <w:tcPr>
            <w:tcW w:w="3000" w:type="dxa"/>
            <w:shd w:fill="F2F6FA" w:val="clear"/>
          </w:tcPr>
          <w:p>
            <w:pPr>
              <w:spacing w:after="30"/>
            </w:pPr>
            <w:r>
              <w:rPr>
                <w:sz w:val="19"/>
              </w:rPr>
              <w:t xml:space="preserve">lib/ui/pantalla_principal.dart; lib/ui/pantalla_nueva.dart; lib/ui/pantalla_detalle.dart</w:t>
            </w:r>
          </w:p>
        </w:tc>
        <w:tc>
          <w:tcPr>
            <w:tcW w:w="3000" w:type="dxa"/>
            <w:shd w:fill="F2F6FA" w:val="clear"/>
          </w:tcPr>
          <w:p>
            <w:pPr>
              <w:spacing w:after="30"/>
            </w:pPr>
            <w:r>
              <w:rPr>
                <w:sz w:val="19"/>
              </w:rPr>
              <w:t xml:space="preserve">Formularios, lista, detalle, filtros y mensajes.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30"/>
            </w:pPr>
            <w:r>
              <w:rPr>
                <w:sz w:val="19"/>
              </w:rPr>
              <w:t xml:space="preserve">Pruebas</w:t>
            </w:r>
          </w:p>
        </w:tc>
        <w:tc>
          <w:tcPr>
            <w:tcW w:w="3000" w:type="dxa"/>
          </w:tcPr>
          <w:p>
            <w:pPr>
              <w:spacing w:after="30"/>
            </w:pPr>
            <w:r>
              <w:rPr>
                <w:sz w:val="19"/>
              </w:rPr>
              <w:t xml:space="preserve">test/gestor_incidencias_test.dart; test/widget_test.dart</w:t>
            </w:r>
          </w:p>
        </w:tc>
        <w:tc>
          <w:tcPr>
            <w:tcW w:w="3000" w:type="dxa"/>
          </w:tcPr>
          <w:p>
            <w:pPr>
              <w:spacing w:after="30"/>
            </w:pPr>
            <w:r>
              <w:rPr>
                <w:sz w:val="19"/>
              </w:rPr>
              <w:t xml:space="preserve">Regresión de búsqueda, estado, prioridades, JSON y filtros.</w:t>
            </w:r>
          </w:p>
        </w:tc>
      </w:tr>
    </w:tbl>
    <w:p>
      <w:pPr>
        <w:spacing w:before="0" w:after="50"/>
      </w:pPr>
      <w:r>
        <w:rPr/>
        <w:t xml:space="preserve"/>
      </w:r>
    </w:p>
    <w:p>
      <w:pPr>
        <w:spacing w:before="0" w:after="120"/>
      </w:pPr>
      <w:r>
        <w:rPr/>
        <w:t xml:space="preserve">Los cambios de código están señalados en los archivos con comentarios // CAMBIO:.</w:t>
      </w:r>
    </w:p>
    <w:p>
      <w:pPr>
        <w:pStyle w:val="Heading1"/>
        <w:spacing w:before="180" w:after="80"/>
        <w:keepNext/>
      </w:pPr>
      <w:r>
        <w:rPr/>
        <w:t xml:space="preserve">5. Verificación</w:t>
      </w:r>
    </w:p>
    <w:tbl>
      <w:tblPr>
        <w:tblW w:w="5000" w:type="pct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AAB7C4"/>
          <w:insideV w:val="single" w:sz="4" w:color="AAB7C4"/>
        </w:tblBorders>
        <w:tblCellMar>
          <w:top w:w="90" w:type="dxa"/>
          <w:start w:w="90" w:type="dxa"/>
          <w:bottom w:w="90" w:type="dxa"/>
          <w:end w:w="90" w:type="dxa"/>
        </w:tblCellMar>
      </w:tblPr>
      <w:tblGrid>
        <w:gridCol w:w="4500"/>
        <w:gridCol w:w="4500"/>
      </w:tblGrid>
      <w:tr>
        <w:trPr>
          <w:cantSplit/>
          <w:tblHeader/>
        </w:trPr>
        <w:tc>
          <w:tcPr>
            <w:tcW w:w="4500" w:type="dxa"/>
            <w:shd w:fill="17365D" w:val="clear"/>
          </w:tcPr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 xml:space="preserve">Verificación</w:t>
            </w:r>
          </w:p>
        </w:tc>
        <w:tc>
          <w:tcPr>
            <w:tcW w:w="4500" w:type="dxa"/>
            <w:shd w:fill="17365D" w:val="clear"/>
          </w:tcPr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4500" w:type="dxa"/>
            <w:shd w:fill="F2F6FA" w:val="clear"/>
          </w:tcPr>
          <w:p>
            <w:pPr>
              <w:spacing w:after="30"/>
            </w:pPr>
            <w:r>
              <w:rPr>
                <w:sz w:val="19"/>
              </w:rPr>
              <w:t xml:space="preserve">flutter test</w:t>
            </w:r>
          </w:p>
        </w:tc>
        <w:tc>
          <w:tcPr>
            <w:tcW w:w="4500" w:type="dxa"/>
            <w:shd w:fill="F2F6FA" w:val="clear"/>
          </w:tcPr>
          <w:p>
            <w:pPr>
              <w:spacing w:after="30"/>
            </w:pPr>
            <w:r>
              <w:rPr>
                <w:sz w:val="19"/>
              </w:rPr>
              <w:t xml:space="preserve">7 de 7 pruebas aprobadas.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30"/>
            </w:pPr>
            <w:r>
              <w:rPr>
                <w:sz w:val="19"/>
              </w:rPr>
              <w:t xml:space="preserve">flutter analyze</w:t>
            </w:r>
          </w:p>
        </w:tc>
        <w:tc>
          <w:tcPr>
            <w:tcW w:w="4500" w:type="dxa"/>
          </w:tcPr>
          <w:p>
            <w:pPr>
              <w:spacing w:after="30"/>
            </w:pPr>
            <w:r>
              <w:rPr>
                <w:sz w:val="19"/>
              </w:rPr>
              <w:t xml:space="preserve">Sin hallazgos.</w:t>
            </w:r>
          </w:p>
        </w:tc>
      </w:tr>
      <w:tr>
        <w:trPr>
          <w:cantSplit/>
        </w:trPr>
        <w:tc>
          <w:tcPr>
            <w:tcW w:w="4500" w:type="dxa"/>
            <w:shd w:fill="F2F6FA" w:val="clear"/>
          </w:tcPr>
          <w:p>
            <w:pPr>
              <w:spacing w:after="30"/>
            </w:pPr>
            <w:r>
              <w:rPr>
                <w:sz w:val="19"/>
              </w:rPr>
              <w:t xml:space="preserve">Prueba manual en Chrome</w:t>
            </w:r>
          </w:p>
        </w:tc>
        <w:tc>
          <w:tcPr>
            <w:tcW w:w="4500" w:type="dxa"/>
            <w:shd w:fill="F2F6FA" w:val="clear"/>
          </w:tcPr>
          <w:p>
            <w:pPr>
              <w:spacing w:after="30"/>
            </w:pPr>
            <w:r>
              <w:rPr>
                <w:sz w:val="19"/>
              </w:rPr>
              <w:t xml:space="preserve">Se creó una incidencia ficticia con prioridad Alta; los filtros texto + Pendiente + Alta devolvieron una coincidencia. Se confirmó persistencia tras recargar y después se restauraron los datos de demostración.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30"/>
            </w:pPr>
            <w:r>
              <w:rPr>
                <w:sz w:val="19"/>
              </w:rPr>
              <w:t xml:space="preserve">Datos heredados</w:t>
            </w:r>
          </w:p>
        </w:tc>
        <w:tc>
          <w:tcPr>
            <w:tcW w:w="4500" w:type="dxa"/>
          </w:tcPr>
          <w:p>
            <w:pPr>
              <w:spacing w:after="30"/>
            </w:pPr>
            <w:r>
              <w:rPr>
                <w:sz w:val="19"/>
              </w:rPr>
              <w:t xml:space="preserve">JSON sin prioridad o con valor desconocido se carga como Media; se rechazan escrituras con prioridades no permitidas.</w:t>
            </w:r>
          </w:p>
        </w:tc>
      </w:tr>
    </w:tbl>
    <w:p>
      <w:pPr>
        <w:spacing w:before="0" w:after="50"/>
      </w:pPr>
      <w:r>
        <w:rPr/>
        <w:t xml:space="preserve"/>
      </w:r>
    </w:p>
    <w:p>
      <w:pPr>
        <w:pStyle w:val="Heading1"/>
        <w:spacing w:before="180" w:after="80"/>
        <w:keepNext/>
      </w:pPr>
      <w:r>
        <w:rPr/>
        <w:t xml:space="preserve">6. Historial y entrega en Git</w:t>
      </w:r>
    </w:p>
    <w:tbl>
      <w:tblPr>
        <w:tblW w:w="5000" w:type="pct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AAB7C4"/>
          <w:insideV w:val="single" w:sz="4" w:color="AAB7C4"/>
        </w:tblBorders>
        <w:tblCellMar>
          <w:top w:w="90" w:type="dxa"/>
          <w:start w:w="90" w:type="dxa"/>
          <w:bottom w:w="90" w:type="dxa"/>
          <w:end w:w="90" w:type="dxa"/>
        </w:tblCellMar>
      </w:tblPr>
      <w:tblGrid>
        <w:gridCol w:w="4500"/>
        <w:gridCol w:w="4500"/>
      </w:tblGrid>
      <w:tr>
        <w:trPr>
          <w:cantSplit/>
          <w:tblHeader/>
        </w:trPr>
        <w:tc>
          <w:tcPr>
            <w:tcW w:w="4500" w:type="dxa"/>
            <w:shd w:fill="17365D" w:val="clear"/>
          </w:tcPr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 xml:space="preserve">Commit</w:t>
            </w:r>
          </w:p>
        </w:tc>
        <w:tc>
          <w:tcPr>
            <w:tcW w:w="4500" w:type="dxa"/>
            <w:shd w:fill="17365D" w:val="clear"/>
          </w:tcPr>
          <w:p>
            <w:pPr>
              <w:spacing w:after="30"/>
            </w:pPr>
            <w:r>
              <w:rPr>
                <w:b/>
                <w:color w:val="FFFFFF"/>
                <w:sz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500" w:type="dxa"/>
            <w:shd w:fill="F2F6FA" w:val="clear"/>
          </w:tcPr>
          <w:p>
            <w:pPr>
              <w:spacing w:after="30"/>
            </w:pPr>
            <w:r>
              <w:rPr>
                <w:sz w:val="19"/>
              </w:rPr>
              <w:t xml:space="preserve">3f0088e | 14/10/2026</w:t>
            </w:r>
          </w:p>
        </w:tc>
        <w:tc>
          <w:tcPr>
            <w:tcW w:w="4500" w:type="dxa"/>
            <w:shd w:fill="F2F6FA" w:val="clear"/>
          </w:tcPr>
          <w:p>
            <w:pPr>
              <w:spacing w:after="30"/>
            </w:pPr>
            <w:r>
              <w:rPr>
                <w:sz w:val="19"/>
              </w:rPr>
              <w:t xml:space="preserve">Correcciones relacionadas con BUG-001, BUG-002 y BUG-003.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after="30"/>
            </w:pPr>
            <w:r>
              <w:rPr>
                <w:sz w:val="19"/>
              </w:rPr>
              <w:t xml:space="preserve">10e190f | 17/10/2026</w:t>
            </w:r>
          </w:p>
        </w:tc>
        <w:tc>
          <w:tcPr>
            <w:tcW w:w="4500" w:type="dxa"/>
          </w:tcPr>
          <w:p>
            <w:pPr>
              <w:spacing w:after="30"/>
            </w:pPr>
            <w:r>
              <w:rPr>
                <w:sz w:val="19"/>
              </w:rPr>
              <w:t xml:space="preserve">FEAT-001 y FEAT-002; commit final de la rama publicada en origin/feat-001-002.</w:t>
            </w:r>
          </w:p>
        </w:tc>
      </w:tr>
    </w:tbl>
    <w:p>
      <w:pPr>
        <w:spacing w:before="0" w:after="50"/>
      </w:pPr>
      <w:r>
        <w:rPr/>
        <w:t xml:space="preserve"/>
      </w:r>
    </w:p>
    <w:p>
      <w:pPr>
        <w:pStyle w:val="Heading1"/>
        <w:spacing w:before="180" w:after="80"/>
        <w:keepNext/>
      </w:pPr>
      <w:r>
        <w:rPr/>
        <w:t xml:space="preserve">7. Ejecución y cierre</w:t>
      </w:r>
    </w:p>
    <w:p>
      <w:pPr>
        <w:spacing w:before="0" w:after="120"/>
      </w:pPr>
      <w:r>
        <w:rPr/>
        <w:t xml:space="preserve">Para ejecutar desde la carpeta del proyecto: flutter pub get y después flutter run -d chrome. El README describe también la preparación de plataformas nativas con el SDK Flutter disponible en el equipo.</w:t>
      </w:r>
    </w:p>
    <w:p>
      <w:pPr>
        <w:spacing w:before="0" w:after="120"/>
      </w:pPr>
      <w:r>
        <w:rPr/>
        <w:t xml:space="preserve">Estado: correcciones y funcionalidades terminadas, verificadas y publicadas en la rama indicada. La aplicación mantiene almacenamiento local y datos de ejemplo. Para una nueva jornada se puede continuar con el siguiente ticket asignado y registrar su evidencia en la bitácora diaria.</w:t>
      </w:r>
    </w:p>
    <w:p>
      <w:pPr>
        <w:pStyle w:val="Heading1"/>
        <w:spacing w:before="180" w:after="80"/>
        <w:keepNext/>
      </w:pPr>
      <w:r>
        <w:rPr/>
        <w:t xml:space="preserve">Uso de inteligencia artificial</w:t>
      </w:r>
    </w:p>
    <w:p>
      <w:pPr>
        <w:spacing w:before="0" w:after="120"/>
      </w:pPr>
      <w:r>
        <w:rPr/>
        <w:t xml:space="preserve">Se utilizó ChatGPT Codex como apoyo para implementar las funcionalidades y organizar el reporte. La guía de práctica indica confirmar autorización institucional antes de compartir código con asistentes; el proyecto describe sus datos como ficticios. El uso se declara para revisión de quien recibe la entrega.</w:t>
      </w:r>
    </w:p>
    <w:p>
      <w:pPr>
        <w:spacing w:before="120" w:after="120"/>
      </w:pPr>
      <w:r>
        <w:rPr>
          <w:color w:val="555555"/>
          <w:sz w:val="18"/>
        </w:rPr>
        <w:t xml:space="preserve">Fuentes: README del repositorio, fichas de seguimiento de tickets, historial Git de feat-001-002 y resultados de verificación registrados en la bitácora del proyecto.</w:t>
      </w:r>
    </w:p>
    <w:sectPr>
      <w:pgSz w:w="12240" w:h="15840"/>
      <w:pgMar w:top="1020" w:right="1080" w:bottom="1020" w:left="1080" w:header="500" w:footer="50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64D"/>
    <w:rsid w:val="00074AF3"/>
    <w:rsid w:val="000D5249"/>
    <w:rsid w:val="001A1948"/>
    <w:rsid w:val="00271449"/>
    <w:rsid w:val="005B06E0"/>
    <w:rsid w:val="007C364D"/>
    <w:rsid w:val="008D3CAF"/>
    <w:rsid w:val="009E6C7A"/>
    <w:rsid w:val="00A6401B"/>
    <w:rsid w:val="00BD45D6"/>
    <w:rsid w:val="00F3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022D6F"/>
  <w15:chartTrackingRefBased/>
  <w15:docId w15:val="{F4703DC5-0C8C-2D45-BE20-267C4149A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3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C3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3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3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3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36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36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36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36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3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C3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3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36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36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36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36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36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36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36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3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36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3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36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36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36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36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3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36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36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364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C36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517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HERRERA BENAVIDEZ</dc:creator>
  <cp:keywords/>
  <dc:description/>
  <cp:lastModifiedBy>ALONSO HERRERA BENAVIDEZ</cp:lastModifiedBy>
  <cp:revision>6</cp:revision>
  <dcterms:created xsi:type="dcterms:W3CDTF">2026-10-16T05:23:00Z</dcterms:created>
  <dcterms:modified xsi:type="dcterms:W3CDTF">2026-10-20T04:12:00Z</dcterms:modified>
</cp:coreProperties>
</file>