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rFonts w:ascii="Arial" w:cs="Arial" w:eastAsia="Arial" w:hAnsi="Arial"/>
          <w:b/>
          <w:bCs/>
          <w:color w:val="1F4E79"/>
          <w:sz w:val="72"/>
          <w:szCs w:val="72"/>
        </w:rPr>
        <w:t xml:space="preserve">GrantsSurveyor</w:t>
      </w:r>
    </w:p>
    <w:p>
      <w:pPr>
        <w:pBdr>
          <w:bottom w:val="single" w:color="2E75B6" w:sz="8" w:space="8"/>
        </w:pBdr>
        <w:spacing w:before="0" w:after="200"/>
        <w:jc w:val="center"/>
      </w:pPr>
      <w:r>
        <w:rPr>
          <w:rFonts w:ascii="Arial" w:cs="Arial" w:eastAsia="Arial" w:hAnsi="Arial"/>
          <w:i/>
          <w:iCs/>
          <w:color w:val="2E75B6"/>
          <w:sz w:val="32"/>
          <w:szCs w:val="32"/>
        </w:rPr>
        <w:t xml:space="preserve">Agente de Vigilancia del Gasto Público</w:t>
      </w:r>
    </w:p>
    <w:p>
      <w:pPr>
        <w:spacing w:before="80" w:after="80"/>
      </w:pPr>
      <w:r>
        <w:t xml:space="preserve"/>
      </w:r>
    </w:p>
    <w:p>
      <w:pPr>
        <w:spacing w:before="200" w:after="100"/>
        <w:jc w:val="center"/>
      </w:pPr>
      <w:r>
        <w:rPr>
          <w:rFonts w:ascii="Arial" w:cs="Arial" w:eastAsia="Arial" w:hAnsi="Arial"/>
          <w:color w:val="595959"/>
          <w:sz w:val="24"/>
          <w:szCs w:val="24"/>
        </w:rPr>
        <w:t xml:space="preserve">Documento de Concepto y Especificación Técnica</w:t>
      </w:r>
    </w:p>
    <w:p>
      <w:pPr>
        <w:spacing w:before="100" w:after="2400"/>
        <w:jc w:val="center"/>
      </w:pPr>
      <w:r>
        <w:rPr>
          <w:rFonts w:ascii="Arial" w:cs="Arial" w:eastAsia="Arial" w:hAnsi="Arial"/>
          <w:color w:val="595959"/>
          <w:sz w:val="22"/>
          <w:szCs w:val="22"/>
        </w:rPr>
        <w:t xml:space="preserve">Versión 1.0  ·  Marzo 2026</w:t>
      </w:r>
    </w:p>
    <w:p>
      <w:r>
        <w:br w:type="page"/>
      </w:r>
    </w:p>
    <w:p>
      <w:pPr>
        <w:spacing w:before="0" w:after="320"/>
      </w:pPr>
      <w:r>
        <w:rPr>
          <w:rFonts w:ascii="Arial" w:cs="Arial" w:eastAsia="Arial" w:hAnsi="Arial"/>
          <w:b/>
          <w:bCs/>
          <w:color w:val="FFFFFF"/>
          <w:sz w:val="28"/>
          <w:szCs w:val="28"/>
        </w:rPr>
        <w:t xml:space="preserve">PARTE I</w:t>
      </w:r>
    </w:p>
    <w:p>
      <w:pPr>
        <w:shd w:fill="1F4E79" w:val="clear"/>
        <w:spacing w:before="0" w:after="80"/>
        <w:jc w:val="center"/>
      </w:pPr>
      <w:r>
        <w:rPr>
          <w:rFonts w:ascii="Arial" w:cs="Arial" w:eastAsia="Arial" w:hAnsi="Arial"/>
          <w:b/>
          <w:bCs/>
          <w:color w:val="FFFFFF"/>
          <w:sz w:val="32"/>
          <w:szCs w:val="32"/>
        </w:rPr>
        <w:t xml:space="preserve">  PARTE I — QUÉ ES GRANTSURVEYOR  </w:t>
      </w:r>
    </w:p>
    <w:p>
      <w:pPr>
        <w:shd w:fill="D6E4F0" w:val="clear"/>
        <w:spacing w:before="0" w:after="320"/>
        <w:jc w:val="center"/>
      </w:pPr>
      <w:r>
        <w:rPr>
          <w:rFonts w:ascii="Arial" w:cs="Arial" w:eastAsia="Arial" w:hAnsi="Arial"/>
          <w:i/>
          <w:iCs/>
          <w:color w:val="1F4E79"/>
          <w:sz w:val="22"/>
          <w:szCs w:val="22"/>
        </w:rPr>
        <w:t xml:space="preserve">  Descripción en lenguaje no técnico  </w:t>
      </w:r>
    </w:p>
    <w:p>
      <w:pPr>
        <w:pStyle w:val="Heading1"/>
        <w:spacing w:before="400" w:after="200"/>
      </w:pPr>
      <w:r>
        <w:rPr>
          <w:rFonts w:ascii="Arial" w:cs="Arial" w:eastAsia="Arial" w:hAnsi="Arial"/>
          <w:b/>
          <w:bCs/>
          <w:color w:val="1F4E79"/>
          <w:sz w:val="36"/>
          <w:szCs w:val="36"/>
        </w:rPr>
        <w:t xml:space="preserve">1. El problema que resuelve</w:t>
      </w:r>
    </w:p>
    <w:p>
      <w:pPr>
        <w:spacing w:before="100" w:after="120"/>
      </w:pPr>
      <w:r>
        <w:rPr>
          <w:rFonts w:ascii="Arial" w:cs="Arial" w:eastAsia="Arial" w:hAnsi="Arial"/>
          <w:sz w:val="22"/>
          <w:szCs w:val="22"/>
        </w:rPr>
        <w:t xml:space="preserve">Cada año, las administraciones públicas españolas conceden miles de millones de euros en subvenciones a asociaciones, fundaciones y otras entidades. Toda esa información es pública: está disponible en la Base de Datos Nacional de Subvenciones (BDNS), el registro oficial del Estado.</w:t>
      </w:r>
    </w:p>
    <w:p>
      <w:pPr>
        <w:spacing w:before="80" w:after="80"/>
      </w:pPr>
      <w:r>
        <w:t xml:space="preserve"/>
      </w:r>
    </w:p>
    <w:p>
      <w:pPr>
        <w:spacing w:before="100" w:after="120"/>
      </w:pPr>
      <w:r>
        <w:rPr>
          <w:rFonts w:ascii="Arial" w:cs="Arial" w:eastAsia="Arial" w:hAnsi="Arial"/>
          <w:sz w:val="22"/>
          <w:szCs w:val="22"/>
        </w:rPr>
        <w:t xml:space="preserve">El problema es que nadie puede leerla de forma sistemática. Los datos existen pero están dispersos, incompletos y son difíciles de relacionar entre sí. Saber si una entidad que recibe dinero público es, por ejemplo, de naturaleza religiosa requiere cruzar el registro de subvenciones con el Registro de Entidades Religiosas, el Registro de Fundaciones, el Boletín Oficial del Estado y otras fuentes, ninguna de las cuales está diseñada para hablar con las demás.</w:t>
      </w:r>
    </w:p>
    <w:p>
      <w:pPr>
        <w:spacing w:before="80" w:after="80"/>
      </w:pPr>
      <w:r>
        <w:t xml:space="preserve"/>
      </w:r>
    </w:p>
    <w:p>
      <w:pPr>
        <w:spacing w:before="100" w:after="120"/>
      </w:pPr>
      <w:r>
        <w:rPr>
          <w:rFonts w:ascii="Arial" w:cs="Arial" w:eastAsia="Arial" w:hAnsi="Arial"/>
          <w:sz w:val="22"/>
          <w:szCs w:val="22"/>
        </w:rPr>
        <w:t xml:space="preserve">GrantsSurveyor automatiza ese trabajo de investigación.</w:t>
      </w:r>
    </w:p>
    <w:p>
      <w:pPr>
        <w:pStyle w:val="Heading1"/>
        <w:spacing w:before="400" w:after="200"/>
      </w:pPr>
      <w:r>
        <w:rPr>
          <w:rFonts w:ascii="Arial" w:cs="Arial" w:eastAsia="Arial" w:hAnsi="Arial"/>
          <w:b/>
          <w:bCs/>
          <w:color w:val="1F4E79"/>
          <w:sz w:val="36"/>
          <w:szCs w:val="36"/>
        </w:rPr>
        <w:t xml:space="preserve">2. Qué hace exactamente</w:t>
      </w:r>
    </w:p>
    <w:p>
      <w:pPr>
        <w:spacing w:before="100" w:after="120"/>
      </w:pPr>
      <w:r>
        <w:rPr>
          <w:rFonts w:ascii="Arial" w:cs="Arial" w:eastAsia="Arial" w:hAnsi="Arial"/>
          <w:sz w:val="22"/>
          <w:szCs w:val="22"/>
        </w:rPr>
        <w:t xml:space="preserve">GrantsSurveyor es una herramienta de software que combina inteligencia artificial con supervisión humana para responder preguntas de vigilancia sobre el gasto público. La pregunta es un parámetro: la define el analista, no el programa.</w:t>
      </w:r>
    </w:p>
    <w:p>
      <w:pPr>
        <w:spacing w:before="80" w:after="80"/>
      </w:pPr>
      <w:r>
        <w:t xml:space="preserve"/>
      </w:r>
    </w:p>
    <w:p>
      <w:pPr>
        <w:spacing w:before="100" w:after="120"/>
      </w:pPr>
      <w:r>
        <w:rPr>
          <w:rFonts w:ascii="Arial" w:cs="Arial" w:eastAsia="Arial" w:hAnsi="Arial"/>
          <w:sz w:val="22"/>
          <w:szCs w:val="22"/>
        </w:rPr>
        <w:t xml:space="preserve">Ejemplos de preguntas que la herramienta puede investigar:</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¿Qué organizaciones de naturaleza religiosa han recibido subvenciones públicas, de qué administración, por qué importe y bajo qué base legal?</w:t>
      </w:r>
    </w:p>
    <w:p>
      <w:pPr>
        <w:pStyle w:val="ListParagraph"/>
        <w:numPr>
          <w:ilvl w:val="0"/>
          <w:numId w:val="2"/>
        </w:numPr>
        <w:spacing w:before="60" w:after="60"/>
      </w:pPr>
      <w:r>
        <w:rPr>
          <w:rFonts w:ascii="Arial" w:cs="Arial" w:eastAsia="Arial" w:hAnsi="Arial"/>
          <w:sz w:val="22"/>
          <w:szCs w:val="22"/>
        </w:rPr>
        <w:t xml:space="preserve">¿Qué medios de comunicación han recibido ayudas públicas, desglosado por comunidad autónoma?</w:t>
      </w:r>
    </w:p>
    <w:p>
      <w:pPr>
        <w:pStyle w:val="ListParagraph"/>
        <w:numPr>
          <w:ilvl w:val="0"/>
          <w:numId w:val="2"/>
        </w:numPr>
        <w:spacing w:before="60" w:after="60"/>
      </w:pPr>
      <w:r>
        <w:rPr>
          <w:rFonts w:ascii="Arial" w:cs="Arial" w:eastAsia="Arial" w:hAnsi="Arial"/>
          <w:sz w:val="22"/>
          <w:szCs w:val="22"/>
        </w:rPr>
        <w:t xml:space="preserve">¿Hay entidades que reciben subvenciones de forma recurrente de distintas administraciones para los mismos fines?</w:t>
      </w:r>
    </w:p>
    <w:p>
      <w:pPr>
        <w:pStyle w:val="ListParagraph"/>
        <w:numPr>
          <w:ilvl w:val="0"/>
          <w:numId w:val="2"/>
        </w:numPr>
        <w:spacing w:before="60" w:after="60"/>
      </w:pPr>
      <w:r>
        <w:rPr>
          <w:rFonts w:ascii="Arial" w:cs="Arial" w:eastAsia="Arial" w:hAnsi="Arial"/>
          <w:sz w:val="22"/>
          <w:szCs w:val="22"/>
        </w:rPr>
        <w:t xml:space="preserve">¿Qué colegios que segregan al alumnado por sexo han recibido fondos públicos?</w:t>
      </w:r>
    </w:p>
    <w:p>
      <w:pPr>
        <w:spacing w:before="80" w:after="80"/>
      </w:pPr>
      <w:r>
        <w:t xml:space="preserve"/>
      </w:r>
    </w:p>
    <w:p>
      <w:pPr>
        <w:spacing w:before="100" w:after="120"/>
      </w:pPr>
      <w:r>
        <w:rPr>
          <w:rFonts w:ascii="Arial" w:cs="Arial" w:eastAsia="Arial" w:hAnsi="Arial"/>
          <w:sz w:val="22"/>
          <w:szCs w:val="22"/>
        </w:rPr>
        <w:t xml:space="preserve">Para responder a estas preguntas, la herramienta realiza automáticamente las siguientes tareas: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Descarga periódicamente las concesiones publicadas en la BDNS.</w:t>
      </w:r>
    </w:p>
    <w:p>
      <w:pPr>
        <w:pStyle w:val="ListParagraph"/>
        <w:numPr>
          <w:ilvl w:val="0"/>
          <w:numId w:val="2"/>
        </w:numPr>
        <w:spacing w:before="60" w:after="60"/>
      </w:pPr>
      <w:r>
        <w:rPr>
          <w:rFonts w:ascii="Arial" w:cs="Arial" w:eastAsia="Arial" w:hAnsi="Arial"/>
          <w:sz w:val="22"/>
          <w:szCs w:val="22"/>
        </w:rPr>
        <w:t xml:space="preserve">Analiza el nombre y NIF de cada entidad beneficiaria buscando indicios de la categoría investigada.</w:t>
      </w:r>
    </w:p>
    <w:p>
      <w:pPr>
        <w:pStyle w:val="ListParagraph"/>
        <w:numPr>
          <w:ilvl w:val="0"/>
          <w:numId w:val="2"/>
        </w:numPr>
        <w:spacing w:before="60" w:after="60"/>
      </w:pPr>
      <w:r>
        <w:rPr>
          <w:rFonts w:ascii="Arial" w:cs="Arial" w:eastAsia="Arial" w:hAnsi="Arial"/>
          <w:sz w:val="22"/>
          <w:szCs w:val="22"/>
        </w:rPr>
        <w:t xml:space="preserve">Consulta registros oficiales (Registro de Entidades Religiosas, Registro de Fundaciones, BOE) y los cruza con los datos de la BDNS.</w:t>
      </w:r>
    </w:p>
    <w:p>
      <w:pPr>
        <w:pStyle w:val="ListParagraph"/>
        <w:numPr>
          <w:ilvl w:val="0"/>
          <w:numId w:val="2"/>
        </w:numPr>
        <w:spacing w:before="60" w:after="60"/>
      </w:pPr>
      <w:r>
        <w:rPr>
          <w:rFonts w:ascii="Arial" w:cs="Arial" w:eastAsia="Arial" w:hAnsi="Arial"/>
          <w:sz w:val="22"/>
          <w:szCs w:val="22"/>
        </w:rPr>
        <w:t xml:space="preserve">Investiga quiénes dirigen cada entidad y si esas personas tienen vínculos conocidos con otras organizaciones de la misma naturaleza.</w:t>
      </w:r>
    </w:p>
    <w:p>
      <w:pPr>
        <w:pStyle w:val="ListParagraph"/>
        <w:numPr>
          <w:ilvl w:val="0"/>
          <w:numId w:val="2"/>
        </w:numPr>
        <w:spacing w:before="60" w:after="60"/>
      </w:pPr>
      <w:r>
        <w:rPr>
          <w:rFonts w:ascii="Arial" w:cs="Arial" w:eastAsia="Arial" w:hAnsi="Arial"/>
          <w:sz w:val="22"/>
          <w:szCs w:val="22"/>
        </w:rPr>
        <w:t xml:space="preserve">Asigna un nivel de certeza a cada hallazgo y explica con precisión por qué llega a esa conclusión.</w:t>
      </w:r>
    </w:p>
    <w:p>
      <w:pPr>
        <w:pStyle w:val="ListParagraph"/>
        <w:numPr>
          <w:ilvl w:val="0"/>
          <w:numId w:val="2"/>
        </w:numPr>
        <w:spacing w:before="60" w:after="60"/>
      </w:pPr>
      <w:r>
        <w:rPr>
          <w:rFonts w:ascii="Arial" w:cs="Arial" w:eastAsia="Arial" w:hAnsi="Arial"/>
          <w:sz w:val="22"/>
          <w:szCs w:val="22"/>
        </w:rPr>
        <w:t xml:space="preserve">Presenta los hallazgos al analista para que los confirme o descarte, y aprende de esas decisiones para mejorar en ciclos sucesivos.</w:t>
      </w:r>
    </w:p>
    <w:p>
      <w:pPr>
        <w:pStyle w:val="ListParagraph"/>
        <w:numPr>
          <w:ilvl w:val="0"/>
          <w:numId w:val="2"/>
        </w:numPr>
        <w:spacing w:before="60" w:after="60"/>
      </w:pPr>
      <w:r>
        <w:rPr>
          <w:rFonts w:ascii="Arial" w:cs="Arial" w:eastAsia="Arial" w:hAnsi="Arial"/>
          <w:sz w:val="22"/>
          <w:szCs w:val="22"/>
        </w:rPr>
        <w:t xml:space="preserve">Genera alertas automáticas cuando una entidad ya confirmada recibe nuevas subvenciones.</w:t>
      </w:r>
    </w:p>
    <w:p>
      <w:pPr>
        <w:pStyle w:val="ListParagraph"/>
        <w:numPr>
          <w:ilvl w:val="0"/>
          <w:numId w:val="2"/>
        </w:numPr>
        <w:spacing w:before="60" w:after="60"/>
      </w:pPr>
      <w:r>
        <w:rPr>
          <w:rFonts w:ascii="Arial" w:cs="Arial" w:eastAsia="Arial" w:hAnsi="Arial"/>
          <w:sz w:val="22"/>
          <w:szCs w:val="22"/>
        </w:rPr>
        <w:t xml:space="preserve">Produce informes publicables y datasets estructurados con toda la cadena de evidencias.</w:t>
      </w:r>
    </w:p>
    <w:p>
      <w:pPr>
        <w:pStyle w:val="Heading1"/>
        <w:spacing w:before="400" w:after="200"/>
      </w:pPr>
      <w:r>
        <w:rPr>
          <w:rFonts w:ascii="Arial" w:cs="Arial" w:eastAsia="Arial" w:hAnsi="Arial"/>
          <w:b/>
          <w:bCs/>
          <w:color w:val="1F4E79"/>
          <w:sz w:val="36"/>
          <w:szCs w:val="36"/>
        </w:rPr>
        <w:t xml:space="preserve">3. Cómo trabaja el analista con la herramienta</w:t>
      </w:r>
    </w:p>
    <w:p>
      <w:pPr>
        <w:spacing w:before="100" w:after="120"/>
      </w:pPr>
      <w:r>
        <w:rPr>
          <w:rFonts w:ascii="Arial" w:cs="Arial" w:eastAsia="Arial" w:hAnsi="Arial"/>
          <w:sz w:val="22"/>
          <w:szCs w:val="22"/>
        </w:rPr>
        <w:t xml:space="preserve">La herramienta no trabaja sola. Está diseñada para amplificar la capacidad de un analista humano, no para sustituirlo. El flujo de trabajo es el siguiente:</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3.1  El analista define la pregunta de vigilancia</w:t>
      </w:r>
    </w:p>
    <w:p>
      <w:pPr>
        <w:spacing w:before="100" w:after="120"/>
      </w:pPr>
      <w:r>
        <w:rPr>
          <w:rFonts w:ascii="Arial" w:cs="Arial" w:eastAsia="Arial" w:hAnsi="Arial"/>
          <w:sz w:val="22"/>
          <w:szCs w:val="22"/>
        </w:rPr>
        <w:t xml:space="preserve">Antes de empezar, el analista describe qué quiere investigar y qué indicios deben despertar la atención del sistema. Esto se hace a través de una interfaz visual, sin necesidad de programar. Por ejemplo:</w:t>
      </w:r>
    </w:p>
    <w:p>
      <w:pPr>
        <w:spacing w:before="80" w:after="80"/>
      </w:pPr>
      <w:r>
        <w:t xml:space="preserve"/>
      </w:r>
    </w:p>
    <w:p>
      <w:pPr>
        <w:shd w:fill="D6E4F0" w:val="clear"/>
        <w:spacing w:before="160" w:after="160"/>
        <w:ind w:left="400" w:right="400"/>
      </w:pPr>
      <w:r>
        <w:rPr>
          <w:rFonts w:ascii="Arial" w:cs="Arial" w:eastAsia="Arial" w:hAnsi="Arial"/>
          <w:i/>
          <w:iCs/>
          <w:color w:val="1F4E79"/>
          <w:sz w:val="20"/>
          <w:szCs w:val="20"/>
        </w:rPr>
        <w:t xml:space="preserve">«Quiero detectar entidades religiosas. Considera como señal segura que el NIF empiece por R. Considera también sospechosos los nombres que contengan "hermandad", "cofradía" o el nombre de un santo, especialmente si la entidad es una asociación (NIF que empieza por G).»</w:t>
      </w:r>
    </w:p>
    <w:p>
      <w:pPr>
        <w:spacing w:before="80" w:after="80"/>
      </w:pPr>
      <w:r>
        <w:t xml:space="preserve"/>
      </w:r>
    </w:p>
    <w:p>
      <w:pPr>
        <w:spacing w:before="100" w:after="120"/>
      </w:pPr>
      <w:r>
        <w:rPr>
          <w:rFonts w:ascii="Arial" w:cs="Arial" w:eastAsia="Arial" w:hAnsi="Arial"/>
          <w:sz w:val="22"/>
          <w:szCs w:val="22"/>
        </w:rPr>
        <w:t xml:space="preserve">Estas instrucciones se guardan como un perfil de vigilancia que la herramienta utiliza en cada análisis y que puede refinarse en cualquier momento.</w:t>
      </w:r>
    </w:p>
    <w:p>
      <w:pPr>
        <w:pStyle w:val="Heading3"/>
        <w:spacing w:before="240" w:after="120"/>
      </w:pPr>
      <w:r>
        <w:rPr>
          <w:rFonts w:ascii="Arial" w:cs="Arial" w:eastAsia="Arial" w:hAnsi="Arial"/>
          <w:b/>
          <w:bCs/>
          <w:color w:val="595959"/>
          <w:sz w:val="24"/>
          <w:szCs w:val="24"/>
        </w:rPr>
        <w:t xml:space="preserve">3.2  La herramienta investiga y notifica</w:t>
      </w:r>
    </w:p>
    <w:p>
      <w:pPr>
        <w:spacing w:before="100" w:after="120"/>
      </w:pPr>
      <w:r>
        <w:rPr>
          <w:rFonts w:ascii="Arial" w:cs="Arial" w:eastAsia="Arial" w:hAnsi="Arial"/>
          <w:sz w:val="22"/>
          <w:szCs w:val="22"/>
        </w:rPr>
        <w:t xml:space="preserve">El sistema analiza cada concesión descargada y, cuando detecta indicios relevantes, presenta un hallazgo al analista. Cada hallazgo incluye una explicación detallada del razonamiento, por ejemplo:</w:t>
      </w:r>
    </w:p>
    <w:p>
      <w:pPr>
        <w:spacing w:before="80" w:after="80"/>
      </w:pPr>
      <w:r>
        <w:t xml:space="preserve"/>
      </w:r>
    </w:p>
    <w:p>
      <w:pPr>
        <w:shd w:fill="D6E4F0" w:val="clear"/>
        <w:spacing w:before="160" w:after="160"/>
        <w:ind w:left="400" w:right="400"/>
      </w:pPr>
      <w:r>
        <w:rPr>
          <w:rFonts w:ascii="Arial" w:cs="Arial" w:eastAsia="Arial" w:hAnsi="Arial"/>
          <w:i/>
          <w:iCs/>
          <w:color w:val="1F4E79"/>
          <w:sz w:val="20"/>
          <w:szCs w:val="20"/>
        </w:rPr>
        <w:t xml:space="preserve">Certeza 87% — Se han activado dos criterios:
[NIVEL 1] El NIF R-12345678 identifica unívocamente a una entidad religiosa en España.
[NIVEL 3] María López García, secretaria de esta fundación, aparece como vocal de la Hermandad de la Macarena de Sevilla según el BOE del 14 de marzo de 2019.</w:t>
      </w:r>
    </w:p>
    <w:p>
      <w:pPr>
        <w:spacing w:before="80" w:after="80"/>
      </w:pPr>
      <w:r>
        <w:t xml:space="preserve"/>
      </w:r>
    </w:p>
    <w:p>
      <w:pPr>
        <w:spacing w:before="100" w:after="120"/>
      </w:pPr>
      <w:r>
        <w:rPr>
          <w:rFonts w:ascii="Arial" w:cs="Arial" w:eastAsia="Arial" w:hAnsi="Arial"/>
          <w:sz w:val="22"/>
          <w:szCs w:val="22"/>
        </w:rPr>
        <w:t xml:space="preserve">La explicación es siempre trazable: cada afirmación señala su fuente y su nivel de certeza.</w:t>
      </w:r>
    </w:p>
    <w:p>
      <w:pPr>
        <w:pStyle w:val="Heading3"/>
        <w:spacing w:before="240" w:after="120"/>
      </w:pPr>
      <w:r>
        <w:rPr>
          <w:rFonts w:ascii="Arial" w:cs="Arial" w:eastAsia="Arial" w:hAnsi="Arial"/>
          <w:b/>
          <w:bCs/>
          <w:color w:val="595959"/>
          <w:sz w:val="24"/>
          <w:szCs w:val="24"/>
        </w:rPr>
        <w:t xml:space="preserve">3.3  El analista revisa y decide</w:t>
      </w:r>
    </w:p>
    <w:p>
      <w:pPr>
        <w:spacing w:before="100" w:after="120"/>
      </w:pPr>
      <w:r>
        <w:rPr>
          <w:rFonts w:ascii="Arial" w:cs="Arial" w:eastAsia="Arial" w:hAnsi="Arial"/>
          <w:sz w:val="22"/>
          <w:szCs w:val="22"/>
        </w:rPr>
        <w:t xml:space="preserve">El analista ve el hallazgo en el banco de trabajo y tiene tres opciones: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Confirmar: la entidad es efectivamente de la naturaleza investigada. El sistema la añade al grafo de conocimiento y busca proactivamente otras concesiones recibidas por esa entidad, así como otras entidades dirigidas por las mismas personas.</w:t>
      </w:r>
    </w:p>
    <w:p>
      <w:pPr>
        <w:pStyle w:val="ListParagraph"/>
        <w:numPr>
          <w:ilvl w:val="0"/>
          <w:numId w:val="2"/>
        </w:numPr>
        <w:spacing w:before="60" w:after="60"/>
      </w:pPr>
      <w:r>
        <w:rPr>
          <w:rFonts w:ascii="Arial" w:cs="Arial" w:eastAsia="Arial" w:hAnsi="Arial"/>
          <w:sz w:val="22"/>
          <w:szCs w:val="22"/>
        </w:rPr>
        <w:t xml:space="preserve">Descartar: el hallazgo es un falso positivo. El sistema aprende a no repetir ese error.</w:t>
      </w:r>
    </w:p>
    <w:p>
      <w:pPr>
        <w:pStyle w:val="ListParagraph"/>
        <w:numPr>
          <w:ilvl w:val="0"/>
          <w:numId w:val="2"/>
        </w:numPr>
        <w:spacing w:before="60" w:after="60"/>
      </w:pPr>
      <w:r>
        <w:rPr>
          <w:rFonts w:ascii="Arial" w:cs="Arial" w:eastAsia="Arial" w:hAnsi="Arial"/>
          <w:sz w:val="22"/>
          <w:szCs w:val="22"/>
        </w:rPr>
        <w:t xml:space="preserve">Investigar: el caso es ambiguo y requiere consulta externa. El sistema abre una tarea pendiente con notas del analista.</w:t>
      </w:r>
    </w:p>
    <w:p>
      <w:pPr>
        <w:pStyle w:val="Heading3"/>
        <w:spacing w:before="240" w:after="120"/>
      </w:pPr>
      <w:r>
        <w:rPr>
          <w:rFonts w:ascii="Arial" w:cs="Arial" w:eastAsia="Arial" w:hAnsi="Arial"/>
          <w:b/>
          <w:bCs/>
          <w:color w:val="595959"/>
          <w:sz w:val="24"/>
          <w:szCs w:val="24"/>
        </w:rPr>
        <w:t xml:space="preserve">3.4  El conocimiento se acumula</w:t>
      </w:r>
    </w:p>
    <w:p>
      <w:pPr>
        <w:spacing w:before="100" w:after="120"/>
      </w:pPr>
      <w:r>
        <w:rPr>
          <w:rFonts w:ascii="Arial" w:cs="Arial" w:eastAsia="Arial" w:hAnsi="Arial"/>
          <w:sz w:val="22"/>
          <w:szCs w:val="22"/>
        </w:rPr>
        <w:t xml:space="preserve">Cada confirmación o descarte no solo resuelve un caso concreto: enriquece el grafo de conocimiento general. Si Juan Martínez es confirmado como miembro de una hermandad, ese dato queda disponible para evaluar cualquier otra entidad en cuya junta figure Juan Martínez, en este ciclo o en los siguientes.</w:t>
      </w:r>
    </w:p>
    <w:p>
      <w:pPr>
        <w:pStyle w:val="Heading3"/>
        <w:spacing w:before="240" w:after="120"/>
      </w:pPr>
      <w:r>
        <w:rPr>
          <w:rFonts w:ascii="Arial" w:cs="Arial" w:eastAsia="Arial" w:hAnsi="Arial"/>
          <w:b/>
          <w:bCs/>
          <w:color w:val="595959"/>
          <w:sz w:val="24"/>
          <w:szCs w:val="24"/>
        </w:rPr>
        <w:t xml:space="preserve">3.5  El analista refina las reglas</w:t>
      </w:r>
    </w:p>
    <w:p>
      <w:pPr>
        <w:spacing w:before="100" w:after="120"/>
      </w:pPr>
      <w:r>
        <w:rPr>
          <w:rFonts w:ascii="Arial" w:cs="Arial" w:eastAsia="Arial" w:hAnsi="Arial"/>
          <w:sz w:val="22"/>
          <w:szCs w:val="22"/>
        </w:rPr>
        <w:t xml:space="preserve">Si el analista observa que el sistema está pasando por alto un patrón o generando demasiados falsos positivos, puede ajustar las reglas de vigilancia desde el propio banco de trabajo, sin tocar el código. El sistema muestra en tiempo real cuántos casos nuevos activaría la nueva regla antes de aplicarla.</w:t>
      </w:r>
    </w:p>
    <w:p>
      <w:pPr>
        <w:pStyle w:val="Heading1"/>
        <w:spacing w:before="400" w:after="200"/>
      </w:pPr>
      <w:r>
        <w:rPr>
          <w:rFonts w:ascii="Arial" w:cs="Arial" w:eastAsia="Arial" w:hAnsi="Arial"/>
          <w:b/>
          <w:bCs/>
          <w:color w:val="1F4E79"/>
          <w:sz w:val="36"/>
          <w:szCs w:val="36"/>
        </w:rPr>
        <w:t xml:space="preserve">4. Los niveles de certeza</w:t>
      </w:r>
    </w:p>
    <w:p>
      <w:pPr>
        <w:spacing w:before="100" w:after="120"/>
      </w:pPr>
      <w:r>
        <w:rPr>
          <w:rFonts w:ascii="Arial" w:cs="Arial" w:eastAsia="Arial" w:hAnsi="Arial"/>
          <w:sz w:val="22"/>
          <w:szCs w:val="22"/>
        </w:rPr>
        <w:t xml:space="preserve">Todos los hallazgos de GrantsSurveyor se expresan en cinco niveles de certeza, desde la evidencia estructural irrefutable hasta la inferencia débil que requiere investigación adicional:</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Ejemplo de señal</w:t>
            </w:r>
          </w:p>
        </w:tc>
        <w:tc>
          <w:tcPr>
            <w:tcW w:type="dxa" w:w="3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significa</w:t>
            </w:r>
          </w:p>
        </w:tc>
      </w:tr>
      <w:tr>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7F37"/>
                <w:sz w:val="19"/>
                <w:szCs w:val="19"/>
              </w:rPr>
              <w:t xml:space="preserve">Nivel 1 — Certeza estructural (95-100%)</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sz w:val="19"/>
                <w:szCs w:val="19"/>
              </w:rPr>
              <w:t xml:space="preserve">NIF empieza por "R"</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Identificador unívoco de entidad religiosa en España. Certeza máxima sin necesidad de análisis adicional.</w:t>
            </w:r>
          </w:p>
        </w:tc>
      </w:tr>
      <w:tr>
        <w:tc>
          <w:tcPr>
            <w:tcW w:type="dxa" w:w="3000"/>
            <w:tcBorders>
              <w:top w:val="single" w:color="CCCCCC" w:sz="1"/>
              <w:left w:val="single" w:color="CCCCCC" w:sz="1"/>
              <w:bottom w:val="single" w:color="CCCCCC" w:sz="1"/>
              <w:right w:val="single" w:color="CCCCCC" w:sz="1"/>
            </w:tcBorders>
            <w:shd w:fill="D0E4FF" w:val="clear"/>
            <w:tcMar>
              <w:top w:type="dxa" w:w="80"/>
              <w:left w:type="dxa" w:w="120"/>
              <w:bottom w:type="dxa" w:w="80"/>
              <w:right w:type="dxa" w:w="120"/>
            </w:tcMar>
          </w:tcPr>
          <w:p>
            <w:r>
              <w:rPr>
                <w:rFonts w:ascii="Arial" w:cs="Arial" w:eastAsia="Arial" w:hAnsi="Arial"/>
                <w:b/>
                <w:bCs/>
                <w:color w:val="0D6EFD"/>
                <w:sz w:val="19"/>
                <w:szCs w:val="19"/>
              </w:rPr>
              <w:t xml:space="preserve">Nivel 2 — Match registral (80-94%)</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sz w:val="19"/>
                <w:szCs w:val="19"/>
              </w:rPr>
              <w:t xml:space="preserve">Figura en el Registro de Entidades Religiosas</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Coincidencia fuzzy con el RER con alta similitud. Certeza muy alta.</w:t>
            </w:r>
          </w:p>
        </w:tc>
      </w:tr>
      <w:tr>
        <w:tc>
          <w:tcPr>
            <w:tcW w:type="dxa" w:w="3000"/>
            <w:tcBorders>
              <w:top w:val="single" w:color="CCCCCC" w:sz="1"/>
              <w:left w:val="single" w:color="CCCCCC" w:sz="1"/>
              <w:bottom w:val="single" w:color="CCCCCC" w:sz="1"/>
              <w:right w:val="single" w:color="CCCCCC" w:sz="1"/>
            </w:tcBorders>
            <w:shd w:fill="E8D5FF" w:val="clear"/>
            <w:tcMar>
              <w:top w:type="dxa" w:w="80"/>
              <w:left w:type="dxa" w:w="120"/>
              <w:bottom w:type="dxa" w:w="80"/>
              <w:right w:type="dxa" w:w="120"/>
            </w:tcMar>
          </w:tcPr>
          <w:p>
            <w:r>
              <w:rPr>
                <w:rFonts w:ascii="Arial" w:cs="Arial" w:eastAsia="Arial" w:hAnsi="Arial"/>
                <w:b/>
                <w:bCs/>
                <w:color w:val="6610F2"/>
                <w:sz w:val="19"/>
                <w:szCs w:val="19"/>
              </w:rPr>
              <w:t xml:space="preserve">Nivel 3 — Red de afiliaciones (60-79%)</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sz w:val="19"/>
                <w:szCs w:val="19"/>
              </w:rPr>
              <w:t xml:space="preserve">El presidente también dirige una hermandad conocida</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Miembros de la junta tienen vínculos confirmados con entidades religiosas en el grafo.</w:t>
            </w:r>
          </w:p>
        </w:tc>
      </w:tr>
      <w:tr>
        <w:tc>
          <w:tcPr>
            <w:tcW w:type="dxa" w:w="3000"/>
            <w:tcBorders>
              <w:top w:val="single" w:color="CCCCCC" w:sz="1"/>
              <w:left w:val="single" w:color="CCCCCC" w:sz="1"/>
              <w:bottom w:val="single" w:color="CCCCCC" w:sz="1"/>
              <w:right w:val="single" w:color="CCCCCC" w:sz="1"/>
            </w:tcBorders>
            <w:shd w:fill="FFE8D0" w:val="clear"/>
            <w:tcMar>
              <w:top w:type="dxa" w:w="80"/>
              <w:left w:type="dxa" w:w="120"/>
              <w:bottom w:type="dxa" w:w="80"/>
              <w:right w:type="dxa" w:w="120"/>
            </w:tcMar>
          </w:tcPr>
          <w:p>
            <w:r>
              <w:rPr>
                <w:rFonts w:ascii="Arial" w:cs="Arial" w:eastAsia="Arial" w:hAnsi="Arial"/>
                <w:b/>
                <w:bCs/>
                <w:color w:val="FD7E14"/>
                <w:sz w:val="19"/>
                <w:szCs w:val="19"/>
              </w:rPr>
              <w:t xml:space="preserve">Nivel 4 — Señales léxicas (40-59%)</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sz w:val="19"/>
                <w:szCs w:val="19"/>
              </w:rPr>
              <w:t xml:space="preserve">Nombre contiene "Salesiano", "Diocesano"...</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Vocabulario de alta asociación religiosa pero sin confirmación registral ni de red.</w:t>
            </w:r>
          </w:p>
        </w:tc>
      </w:tr>
      <w:tr>
        <w:tc>
          <w:tcPr>
            <w:tcW w:type="dxa" w:w="3000"/>
            <w:tcBorders>
              <w:top w:val="single" w:color="CCCCCC" w:sz="1"/>
              <w:left w:val="single" w:color="CCCCCC" w:sz="1"/>
              <w:bottom w:val="single" w:color="CCCCCC" w:sz="1"/>
              <w:right w:val="single" w:color="CCCCCC" w:sz="1"/>
            </w:tcBorders>
            <w:shd w:fill="FFD6DA" w:val="clear"/>
            <w:tcMar>
              <w:top w:type="dxa" w:w="80"/>
              <w:left w:type="dxa" w:w="120"/>
              <w:bottom w:type="dxa" w:w="80"/>
              <w:right w:type="dxa" w:w="120"/>
            </w:tcMar>
          </w:tcPr>
          <w:p>
            <w:r>
              <w:rPr>
                <w:rFonts w:ascii="Arial" w:cs="Arial" w:eastAsia="Arial" w:hAnsi="Arial"/>
                <w:b/>
                <w:bCs/>
                <w:color w:val="DC3545"/>
                <w:sz w:val="19"/>
                <w:szCs w:val="19"/>
              </w:rPr>
              <w:t xml:space="preserve">Nivel 5 — Inferencia débil (20-39%)</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i/>
                <w:iCs/>
                <w:sz w:val="19"/>
                <w:szCs w:val="19"/>
              </w:rPr>
              <w:t xml:space="preserve">Objeto social menciona valores evangélicos</w:t>
            </w:r>
          </w:p>
        </w:tc>
        <w:tc>
          <w:tcPr>
            <w:tcW w:type="dxa" w:w="3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9"/>
                <w:szCs w:val="19"/>
              </w:rPr>
              <w:t xml:space="preserve">Indicios insuficientes por separado. Requiere investigación. No publicable.</w:t>
            </w:r>
          </w:p>
        </w:tc>
      </w:tr>
    </w:tbl>
    <w:p>
      <w:pPr>
        <w:spacing w:before="80" w:after="80"/>
      </w:pPr>
      <w:r>
        <w:t xml:space="preserve"/>
      </w:r>
    </w:p>
    <w:p>
      <w:pPr>
        <w:spacing w:before="100" w:after="120"/>
      </w:pPr>
      <w:r>
        <w:rPr>
          <w:rFonts w:ascii="Arial" w:cs="Arial" w:eastAsia="Arial" w:hAnsi="Arial"/>
          <w:sz w:val="22"/>
          <w:szCs w:val="22"/>
        </w:rPr>
        <w:t xml:space="preserve">Solo los hallazgos de nivel 1 a 3, confirmados por el analista, pueden formar parte de un informe publicable.</w:t>
      </w:r>
    </w:p>
    <w:p>
      <w:pPr>
        <w:pStyle w:val="Heading1"/>
        <w:spacing w:before="400" w:after="200"/>
      </w:pPr>
      <w:r>
        <w:rPr>
          <w:rFonts w:ascii="Arial" w:cs="Arial" w:eastAsia="Arial" w:hAnsi="Arial"/>
          <w:b/>
          <w:bCs/>
          <w:color w:val="1F4E79"/>
          <w:sz w:val="36"/>
          <w:szCs w:val="36"/>
        </w:rPr>
        <w:t xml:space="preserve">5. Qué produce la herramienta</w:t>
      </w:r>
    </w:p>
    <w:p>
      <w:pPr>
        <w:spacing w:before="100" w:after="120"/>
      </w:pPr>
      <w:r>
        <w:rPr>
          <w:rFonts w:ascii="Arial" w:cs="Arial" w:eastAsia="Arial" w:hAnsi="Arial"/>
          <w:sz w:val="22"/>
          <w:szCs w:val="22"/>
        </w:rPr>
        <w:t xml:space="preserve">El resultado del trabajo con GrantsSurveyor tiene tres formas: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Fichas por entidad: resumen de todas las concesiones recibidas, importes, órganos concedentes, composición de la junta directiva y árbol de evidencias completo.</w:t>
      </w:r>
    </w:p>
    <w:p>
      <w:pPr>
        <w:pStyle w:val="ListParagraph"/>
        <w:numPr>
          <w:ilvl w:val="0"/>
          <w:numId w:val="2"/>
        </w:numPr>
        <w:spacing w:before="60" w:after="60"/>
      </w:pPr>
      <w:r>
        <w:rPr>
          <w:rFonts w:ascii="Arial" w:cs="Arial" w:eastAsia="Arial" w:hAnsi="Arial"/>
          <w:sz w:val="22"/>
          <w:szCs w:val="22"/>
        </w:rPr>
        <w:t xml:space="preserve">Dataset estructurado: exportable en CSV y JSON para su análisis con cualquier herramienta estadística o periodística.</w:t>
      </w:r>
    </w:p>
    <w:p>
      <w:pPr>
        <w:pStyle w:val="ListParagraph"/>
        <w:numPr>
          <w:ilvl w:val="0"/>
          <w:numId w:val="2"/>
        </w:numPr>
        <w:spacing w:before="60" w:after="60"/>
      </w:pPr>
      <w:r>
        <w:rPr>
          <w:rFonts w:ascii="Arial" w:cs="Arial" w:eastAsia="Arial" w:hAnsi="Arial"/>
          <w:sz w:val="22"/>
          <w:szCs w:val="22"/>
        </w:rPr>
        <w:t xml:space="preserve">Informe publicable: documento en formato Markdown o HTML listo para publicación, con todas las afirmaciones respaldadas por su fuente y nivel de certeza.</w:t>
      </w:r>
    </w:p>
    <w:p>
      <w:pPr>
        <w:pStyle w:val="ListParagraph"/>
        <w:numPr>
          <w:ilvl w:val="0"/>
          <w:numId w:val="2"/>
        </w:numPr>
        <w:spacing w:before="60" w:after="60"/>
      </w:pPr>
      <w:r>
        <w:rPr>
          <w:rFonts w:ascii="Arial" w:cs="Arial" w:eastAsia="Arial" w:hAnsi="Arial"/>
          <w:sz w:val="22"/>
          <w:szCs w:val="22"/>
        </w:rPr>
        <w:t xml:space="preserve">Alertas activas: vigilancia continua que notifica al analista cuando cualquier entidad ya confirmada recibe nuevas subvenciones.</w:t>
      </w:r>
    </w:p>
    <w:p>
      <w:pPr>
        <w:pStyle w:val="Heading1"/>
        <w:spacing w:before="400" w:after="200"/>
      </w:pPr>
      <w:r>
        <w:rPr>
          <w:rFonts w:ascii="Arial" w:cs="Arial" w:eastAsia="Arial" w:hAnsi="Arial"/>
          <w:b/>
          <w:bCs/>
          <w:color w:val="1F4E79"/>
          <w:sz w:val="36"/>
          <w:szCs w:val="36"/>
        </w:rPr>
        <w:t xml:space="preserve">6. Lo que la herramienta no hace</w:t>
      </w:r>
    </w:p>
    <w:p>
      <w:pPr>
        <w:spacing w:before="100" w:after="120"/>
      </w:pPr>
      <w:r>
        <w:rPr>
          <w:rFonts w:ascii="Arial" w:cs="Arial" w:eastAsia="Arial" w:hAnsi="Arial"/>
          <w:sz w:val="22"/>
          <w:szCs w:val="22"/>
        </w:rPr>
        <w:t xml:space="preserve">GrantsSurveyor es una herramienta de investigación, no un sistema de acusación automática. Por diseño:</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Ningún hallazgo llega a un informe sin confirmación humana explícita.</w:t>
      </w:r>
    </w:p>
    <w:p>
      <w:pPr>
        <w:pStyle w:val="ListParagraph"/>
        <w:numPr>
          <w:ilvl w:val="0"/>
          <w:numId w:val="2"/>
        </w:numPr>
        <w:spacing w:before="60" w:after="60"/>
      </w:pPr>
      <w:r>
        <w:rPr>
          <w:rFonts w:ascii="Arial" w:cs="Arial" w:eastAsia="Arial" w:hAnsi="Arial"/>
          <w:sz w:val="22"/>
          <w:szCs w:val="22"/>
        </w:rPr>
        <w:t xml:space="preserve">Toda afirmación publicada cita su fuente y su nivel de certeza.</w:t>
      </w:r>
    </w:p>
    <w:p>
      <w:pPr>
        <w:pStyle w:val="ListParagraph"/>
        <w:numPr>
          <w:ilvl w:val="0"/>
          <w:numId w:val="2"/>
        </w:numPr>
        <w:spacing w:before="60" w:after="60"/>
      </w:pPr>
      <w:r>
        <w:rPr>
          <w:rFonts w:ascii="Arial" w:cs="Arial" w:eastAsia="Arial" w:hAnsi="Arial"/>
          <w:sz w:val="22"/>
          <w:szCs w:val="22"/>
        </w:rPr>
        <w:t xml:space="preserve">Los casos ambiguos nunca se publican como definitivos; se aparcan como investigación pendiente.</w:t>
      </w:r>
    </w:p>
    <w:p>
      <w:pPr>
        <w:pStyle w:val="ListParagraph"/>
        <w:numPr>
          <w:ilvl w:val="0"/>
          <w:numId w:val="2"/>
        </w:numPr>
        <w:spacing w:before="60" w:after="60"/>
      </w:pPr>
      <w:r>
        <w:rPr>
          <w:rFonts w:ascii="Arial" w:cs="Arial" w:eastAsia="Arial" w:hAnsi="Arial"/>
          <w:sz w:val="22"/>
          <w:szCs w:val="22"/>
        </w:rPr>
        <w:t xml:space="preserve">El sistema distingue claramente entre «es una entidad religiosa» (evidencia estructural) y «tiene indicios de ser una entidad religiosa» (inferencia).</w:t>
      </w:r>
    </w:p>
    <w:p>
      <w:r>
        <w:br w:type="page"/>
      </w:r>
    </w:p>
    <w:p>
      <w:pPr>
        <w:shd w:fill="1F4E79" w:val="clear"/>
        <w:spacing w:before="0" w:after="80"/>
        <w:jc w:val="center"/>
      </w:pPr>
      <w:r>
        <w:rPr>
          <w:rFonts w:ascii="Arial" w:cs="Arial" w:eastAsia="Arial" w:hAnsi="Arial"/>
          <w:b/>
          <w:bCs/>
          <w:color w:val="FFFFFF"/>
          <w:sz w:val="32"/>
          <w:szCs w:val="32"/>
        </w:rPr>
        <w:t xml:space="preserve">  PARTE II — ESPECIFICACIÓN TÉCNICA  </w:t>
      </w:r>
    </w:p>
    <w:p>
      <w:pPr>
        <w:shd w:fill="D6E4F0" w:val="clear"/>
        <w:spacing w:before="0" w:after="320"/>
        <w:jc w:val="center"/>
      </w:pPr>
      <w:r>
        <w:rPr>
          <w:rFonts w:ascii="Arial" w:cs="Arial" w:eastAsia="Arial" w:hAnsi="Arial"/>
          <w:i/>
          <w:iCs/>
          <w:color w:val="1F4E79"/>
          <w:sz w:val="22"/>
          <w:szCs w:val="22"/>
        </w:rPr>
        <w:t xml:space="preserve">  Requerimientos y arquitectura del sistema  </w:t>
      </w:r>
    </w:p>
    <w:p>
      <w:pPr>
        <w:pStyle w:val="Heading1"/>
        <w:spacing w:before="400" w:after="200"/>
      </w:pPr>
      <w:r>
        <w:rPr>
          <w:rFonts w:ascii="Arial" w:cs="Arial" w:eastAsia="Arial" w:hAnsi="Arial"/>
          <w:b/>
          <w:bCs/>
          <w:color w:val="1F4E79"/>
          <w:sz w:val="36"/>
          <w:szCs w:val="36"/>
        </w:rPr>
        <w:t xml:space="preserve">7. Decisiones tecnológicas</w:t>
      </w:r>
    </w:p>
    <w:p>
      <w:pPr>
        <w:pStyle w:val="Heading3"/>
        <w:spacing w:before="240" w:after="120"/>
      </w:pPr>
      <w:r>
        <w:rPr>
          <w:rFonts w:ascii="Arial" w:cs="Arial" w:eastAsia="Arial" w:hAnsi="Arial"/>
          <w:b/>
          <w:bCs/>
          <w:color w:val="595959"/>
          <w:sz w:val="24"/>
          <w:szCs w:val="24"/>
        </w:rPr>
        <w:t xml:space="preserve">Stack principal</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Lenguaje</w:t>
            </w:r>
          </w:p>
        </w:tc>
        <w:tc>
          <w:tcPr>
            <w:tcW w:type="dxa" w:w="6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Python 3.11+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Modelo de IA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claude-sonnet-4-6 (Anthropic API)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Cliente HTTP</w:t>
            </w:r>
          </w:p>
        </w:tc>
        <w:tc>
          <w:tcPr>
            <w:tcW w:type="dxa" w:w="6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httpx (async)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Modelos de datos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Pydantic v2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Templates de prompts</w:t>
            </w:r>
          </w:p>
        </w:tc>
        <w:tc>
          <w:tcPr>
            <w:tcW w:type="dxa" w:w="6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Jinja2 (versionados)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Configuración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YAML + .env (nunca editados por el usuario)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Interfaz analista</w:t>
            </w:r>
          </w:p>
        </w:tc>
        <w:tc>
          <w:tcPr>
            <w:tcW w:type="dxa" w:w="6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Jupyter Notebook + ipywidgets + Gradio (editor de reglas)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Persistencia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SQLite + sqlite-vec (sin servidor, portable)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Métricas ML</w:t>
            </w:r>
          </w:p>
        </w:tc>
        <w:tc>
          <w:tcPr>
            <w:tcW w:type="dxa" w:w="6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scikit-learn (precision, recall, confusion matrix)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Repositorio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grants-surveyor (independiente, reutilizable)</w:t>
            </w:r>
          </w:p>
        </w:tc>
      </w:tr>
    </w:tbl>
    <w:p>
      <w:pPr>
        <w:pStyle w:val="Heading1"/>
        <w:spacing w:before="400" w:after="200"/>
      </w:pPr>
      <w:r>
        <w:rPr>
          <w:rFonts w:ascii="Arial" w:cs="Arial" w:eastAsia="Arial" w:hAnsi="Arial"/>
          <w:b/>
          <w:bCs/>
          <w:color w:val="1F4E79"/>
          <w:sz w:val="36"/>
          <w:szCs w:val="36"/>
        </w:rPr>
        <w:t xml:space="preserve">8. Arquitectura del sistema</w:t>
      </w:r>
    </w:p>
    <w:p>
      <w:pPr>
        <w:pStyle w:val="Heading3"/>
        <w:spacing w:before="240" w:after="120"/>
      </w:pPr>
      <w:r>
        <w:rPr>
          <w:rFonts w:ascii="Arial" w:cs="Arial" w:eastAsia="Arial" w:hAnsi="Arial"/>
          <w:b/>
          <w:bCs/>
          <w:color w:val="595959"/>
          <w:sz w:val="24"/>
          <w:szCs w:val="24"/>
        </w:rPr>
        <w:t xml:space="preserve">8.1 Pipeline de ejecución</w:t>
      </w:r>
    </w:p>
    <w:p>
      <w:pPr>
        <w:spacing w:before="80" w:after="80"/>
      </w:pPr>
      <w:r>
        <w:t xml:space="preserve"/>
      </w:r>
    </w:p>
    <w:p>
      <w:pPr>
        <w:spacing w:before="100" w:after="120"/>
      </w:pPr>
      <w:r>
        <w:rPr>
          <w:rFonts w:ascii="Arial" w:cs="Arial" w:eastAsia="Arial" w:hAnsi="Arial"/>
          <w:sz w:val="22"/>
          <w:szCs w:val="22"/>
        </w:rPr>
        <w:t xml:space="preserve">El sistema opera en ciclos. Cada ciclo recorre las siguientes fases en orden:</w:t>
      </w:r>
    </w:p>
    <w:p>
      <w:pPr>
        <w:spacing w:before="80" w:after="80"/>
      </w:pPr>
      <w:r>
        <w:t xml:space="preserve"/>
      </w:r>
    </w:p>
    <w:p>
      <w:pPr>
        <w:pStyle w:val="ListParagraph"/>
        <w:numPr>
          <w:ilvl w:val="0"/>
          <w:numId w:val="3"/>
        </w:numPr>
        <w:spacing w:before="60" w:after="60"/>
      </w:pPr>
      <w:r>
        <w:rPr>
          <w:rFonts w:ascii="Arial" w:cs="Arial" w:eastAsia="Arial" w:hAnsi="Arial"/>
          <w:b/>
          <w:bCs/>
          <w:sz w:val="22"/>
          <w:szCs w:val="22"/>
        </w:rPr>
        <w:t xml:space="preserve">INGEST — Descarga de concesiones BDNS</w:t>
      </w:r>
    </w:p>
    <w:p>
      <w:pPr>
        <w:spacing w:before="40" w:after="80"/>
        <w:ind w:left="720"/>
      </w:pPr>
      <w:r>
        <w:rPr>
          <w:rFonts w:ascii="Arial" w:cs="Arial" w:eastAsia="Arial" w:hAnsi="Arial"/>
          <w:sz w:val="20"/>
          <w:szCs w:val="20"/>
        </w:rPr>
        <w:t xml:space="preserve">Descarga por lote o por período desde el endpoint público de infosubvenciones.es. Sin autenticación. Normalización y scoring de calidad de dato. Registros con calidad insuficiente van a cola separada.</w:t>
      </w:r>
    </w:p>
    <w:p>
      <w:pPr>
        <w:pStyle w:val="ListParagraph"/>
        <w:numPr>
          <w:ilvl w:val="0"/>
          <w:numId w:val="3"/>
        </w:numPr>
        <w:spacing w:before="60" w:after="60"/>
      </w:pPr>
      <w:r>
        <w:rPr>
          <w:rFonts w:ascii="Arial" w:cs="Arial" w:eastAsia="Arial" w:hAnsi="Arial"/>
          <w:b/>
          <w:bCs/>
          <w:sz w:val="22"/>
          <w:szCs w:val="22"/>
        </w:rPr>
        <w:t xml:space="preserve">NORMALIZE — Limpieza y calidad de datos</w:t>
      </w:r>
    </w:p>
    <w:p>
      <w:pPr>
        <w:spacing w:before="40" w:after="80"/>
        <w:ind w:left="720"/>
      </w:pPr>
      <w:r>
        <w:rPr>
          <w:rFonts w:ascii="Arial" w:cs="Arial" w:eastAsia="Arial" w:hAnsi="Arial"/>
          <w:sz w:val="20"/>
          <w:szCs w:val="20"/>
        </w:rPr>
        <w:t xml:space="preserve">Normalización de nombres, importes y NIFs. Deduplicación. Cada Concesion normalizada lleva un campo data_quality_score.</w:t>
      </w:r>
    </w:p>
    <w:p>
      <w:pPr>
        <w:pStyle w:val="ListParagraph"/>
        <w:numPr>
          <w:ilvl w:val="0"/>
          <w:numId w:val="3"/>
        </w:numPr>
        <w:spacing w:before="60" w:after="60"/>
      </w:pPr>
      <w:r>
        <w:rPr>
          <w:rFonts w:ascii="Arial" w:cs="Arial" w:eastAsia="Arial" w:hAnsi="Arial"/>
          <w:b/>
          <w:bCs/>
          <w:sz w:val="22"/>
          <w:szCs w:val="22"/>
        </w:rPr>
        <w:t xml:space="preserve">ENRICH — Búsqueda en fuentes externas</w:t>
      </w:r>
    </w:p>
    <w:p>
      <w:pPr>
        <w:spacing w:before="40" w:after="80"/>
        <w:ind w:left="720"/>
      </w:pPr>
      <w:r>
        <w:rPr>
          <w:rFonts w:ascii="Arial" w:cs="Arial" w:eastAsia="Arial" w:hAnsi="Arial"/>
          <w:sz w:val="20"/>
          <w:szCs w:val="20"/>
        </w:rPr>
        <w:t xml:space="preserve">Para cada beneficiario nuevo: (1) análisis de NIF, (2) fuzzy match con snapshot RER y Registro de Fundaciones, (3) búsqueda de junta directiva en BOE y webs institucionales, (4) señales léxicas del WatchProfile, (5) inferencia LLM. El resultado es un conjunto de evidencias tipadas con peso y confianza.</w:t>
      </w:r>
    </w:p>
    <w:p>
      <w:pPr>
        <w:pStyle w:val="ListParagraph"/>
        <w:numPr>
          <w:ilvl w:val="0"/>
          <w:numId w:val="3"/>
        </w:numPr>
        <w:spacing w:before="60" w:after="60"/>
      </w:pPr>
      <w:r>
        <w:rPr>
          <w:rFonts w:ascii="Arial" w:cs="Arial" w:eastAsia="Arial" w:hAnsi="Arial"/>
          <w:b/>
          <w:bCs/>
          <w:sz w:val="22"/>
          <w:szCs w:val="22"/>
        </w:rPr>
        <w:t xml:space="preserve">NOTIFY — Generación de hallazgos</w:t>
      </w:r>
    </w:p>
    <w:p>
      <w:pPr>
        <w:spacing w:before="40" w:after="80"/>
        <w:ind w:left="720"/>
      </w:pPr>
      <w:r>
        <w:rPr>
          <w:rFonts w:ascii="Arial" w:cs="Arial" w:eastAsia="Arial" w:hAnsi="Arial"/>
          <w:sz w:val="20"/>
          <w:szCs w:val="20"/>
        </w:rPr>
        <w:t xml:space="preserve">Agrupación de evidencias por entidad. Cálculo de confianza agregada. Generación de narrativa explicativa. Priorización en el Workbench por nivel de certeza.</w:t>
      </w:r>
    </w:p>
    <w:p>
      <w:pPr>
        <w:pStyle w:val="ListParagraph"/>
        <w:numPr>
          <w:ilvl w:val="0"/>
          <w:numId w:val="3"/>
        </w:numPr>
        <w:spacing w:before="60" w:after="60"/>
      </w:pPr>
      <w:r>
        <w:rPr>
          <w:rFonts w:ascii="Arial" w:cs="Arial" w:eastAsia="Arial" w:hAnsi="Arial"/>
          <w:b/>
          <w:bCs/>
          <w:sz w:val="22"/>
          <w:szCs w:val="22"/>
        </w:rPr>
        <w:t xml:space="preserve">WORKBENCH — Revisión humana</w:t>
      </w:r>
    </w:p>
    <w:p>
      <w:pPr>
        <w:spacing w:before="40" w:after="80"/>
        <w:ind w:left="720"/>
      </w:pPr>
      <w:r>
        <w:rPr>
          <w:rFonts w:ascii="Arial" w:cs="Arial" w:eastAsia="Arial" w:hAnsi="Arial"/>
          <w:sz w:val="20"/>
          <w:szCs w:val="20"/>
        </w:rPr>
        <w:t xml:space="preserve">El analista revisa hallazgos y toma una de tres decisiones: Confirmar / Descartar / Investigar. El CycleStore registra cobertura de revisión. Si la cobertura es inferior a min_review_coverage (configurable, por defecto 0.7), el Refiner emite warning.</w:t>
      </w:r>
    </w:p>
    <w:p>
      <w:pPr>
        <w:pStyle w:val="ListParagraph"/>
        <w:numPr>
          <w:ilvl w:val="0"/>
          <w:numId w:val="3"/>
        </w:numPr>
        <w:spacing w:before="60" w:after="60"/>
      </w:pPr>
      <w:r>
        <w:rPr>
          <w:rFonts w:ascii="Arial" w:cs="Arial" w:eastAsia="Arial" w:hAnsi="Arial"/>
          <w:b/>
          <w:bCs/>
          <w:sz w:val="22"/>
          <w:szCs w:val="22"/>
        </w:rPr>
        <w:t xml:space="preserve">PROPAGATE — Irradiación en el grafo</w:t>
      </w:r>
    </w:p>
    <w:p>
      <w:pPr>
        <w:spacing w:before="40" w:after="80"/>
        <w:ind w:left="720"/>
      </w:pPr>
      <w:r>
        <w:rPr>
          <w:rFonts w:ascii="Arial" w:cs="Arial" w:eastAsia="Arial" w:hAnsi="Arial"/>
          <w:sz w:val="20"/>
          <w:szCs w:val="20"/>
        </w:rPr>
        <w:t xml:space="preserve">Tras cada confirmación, el sistema busca (a) otras concesiones de la misma entidad, (b) otras entidades en cuya junta figuren las mismas personas, y (c) entidades conectadas por aristas SAME_AS en el grafo. Los hallazgos derivados entran al siguiente ciclo del Workbench.</w:t>
      </w:r>
    </w:p>
    <w:p>
      <w:pPr>
        <w:pStyle w:val="ListParagraph"/>
        <w:numPr>
          <w:ilvl w:val="0"/>
          <w:numId w:val="3"/>
        </w:numPr>
        <w:spacing w:before="60" w:after="60"/>
      </w:pPr>
      <w:r>
        <w:rPr>
          <w:rFonts w:ascii="Arial" w:cs="Arial" w:eastAsia="Arial" w:hAnsi="Arial"/>
          <w:b/>
          <w:bCs/>
          <w:sz w:val="22"/>
          <w:szCs w:val="22"/>
        </w:rPr>
        <w:t xml:space="preserve">REPORT — Generación de outputs</w:t>
      </w:r>
    </w:p>
    <w:p>
      <w:pPr>
        <w:spacing w:before="40" w:after="80"/>
        <w:ind w:left="720"/>
      </w:pPr>
      <w:r>
        <w:rPr>
          <w:rFonts w:ascii="Arial" w:cs="Arial" w:eastAsia="Arial" w:hAnsi="Arial"/>
          <w:sz w:val="20"/>
          <w:szCs w:val="20"/>
        </w:rPr>
        <w:t xml:space="preserve">Fichas por entidad confirmada, dataset CSV/JSON, informe Markdown/HTML publicable. Solo se incluyen entidades con confirmación humana explícita y confianza_agregada &gt;= umbral configurable.</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8.2 Componentes del sistema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BDNS Collector</w:t>
            </w:r>
          </w:p>
        </w:tc>
        <w:tc>
          <w:tcPr>
            <w:tcW w:type="dxa" w:w="66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Descarga concesiones del portal público de subvenciones del Estado (infosubvenciones.es). Sin autenticación requerida.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RER Collector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Consulta el Registro de Entidades Religiosas (Ministerio de Justicia) para identificar coincidencias por nombre.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BOE Parser</w:t>
            </w:r>
          </w:p>
        </w:tc>
        <w:tc>
          <w:tcPr>
            <w:tcW w:type="dxa" w:w="66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Extrae composición de juntas directivas publicadas en el BOE y boletines autonómicos.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Web Scraper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Recupera listados de órganos de gobierno de webs institucionales de las entidades.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Knowledge Graph</w:t>
            </w:r>
          </w:p>
        </w:tc>
        <w:tc>
          <w:tcPr>
            <w:tcW w:type="dxa" w:w="66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Base de datos local que almacena entidades, personas, vínculos y evidencias de forma persistente y acumulativa.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Rule Engine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Motor que evalúa reglas booleanas configuradas por el analista y asigna nivel de certeza a cada hallazgo.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AI Evaluator</w:t>
            </w:r>
          </w:p>
        </w:tc>
        <w:tc>
          <w:tcPr>
            <w:tcW w:type="dxa" w:w="66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Componente basado en Claude (Anthropic) que enriquece la narrativa explicativa y detecta patrones en casos ambiguos.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Workbench</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Interfaz Jupyter con controles visuales para revisar hallazgos, confirmar o descartar entidades, y gestionar reglas.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Rule Editor</w:t>
            </w:r>
          </w:p>
        </w:tc>
        <w:tc>
          <w:tcPr>
            <w:tcW w:type="dxa" w:w="66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Formulario visual integrado en el Workbench para crear y refinar reglas sin editar ficheros de configuración.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Reporter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Genera fichas por entidad, datasets exportables (CSV/JSON) e informes publicables (Markdown/HTML).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Alert Monitor</w:t>
            </w:r>
          </w:p>
        </w:tc>
        <w:tc>
          <w:tcPr>
            <w:tcW w:type="dxa" w:w="66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Vigilancia continua: notifica al analista cuando una entidad ya confirmada recibe nuevas concesiones.</w:t>
            </w:r>
          </w:p>
        </w:tc>
      </w:tr>
    </w:tbl>
    <w:p>
      <w:pPr>
        <w:pStyle w:val="Heading1"/>
        <w:spacing w:before="400" w:after="200"/>
      </w:pPr>
      <w:r>
        <w:rPr>
          <w:rFonts w:ascii="Arial" w:cs="Arial" w:eastAsia="Arial" w:hAnsi="Arial"/>
          <w:b/>
          <w:bCs/>
          <w:color w:val="1F4E79"/>
          <w:sz w:val="36"/>
          <w:szCs w:val="36"/>
        </w:rPr>
        <w:t xml:space="preserve">9. El grafo de conocimiento</w:t>
      </w:r>
    </w:p>
    <w:p>
      <w:pPr>
        <w:pStyle w:val="Heading3"/>
        <w:spacing w:before="240" w:after="120"/>
      </w:pPr>
      <w:r>
        <w:rPr>
          <w:rFonts w:ascii="Arial" w:cs="Arial" w:eastAsia="Arial" w:hAnsi="Arial"/>
          <w:b/>
          <w:bCs/>
          <w:color w:val="595959"/>
          <w:sz w:val="24"/>
          <w:szCs w:val="24"/>
        </w:rPr>
        <w:t xml:space="preserve">9.1 Nodos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Entity: toda organización que aparece en cualquier fuente (BDNS, RER, BOE, webs).</w:t>
      </w:r>
    </w:p>
    <w:p>
      <w:pPr>
        <w:pStyle w:val="ListParagraph"/>
        <w:numPr>
          <w:ilvl w:val="0"/>
          <w:numId w:val="2"/>
        </w:numPr>
        <w:spacing w:before="60" w:after="60"/>
      </w:pPr>
      <w:r>
        <w:rPr>
          <w:rFonts w:ascii="Arial" w:cs="Arial" w:eastAsia="Arial" w:hAnsi="Arial"/>
          <w:sz w:val="22"/>
          <w:szCs w:val="22"/>
        </w:rPr>
        <w:t xml:space="preserve">Person: toda persona mencionada en juntas directivas o cargos orgánicos.</w:t>
      </w:r>
    </w:p>
    <w:p>
      <w:pPr>
        <w:pStyle w:val="ListParagraph"/>
        <w:numPr>
          <w:ilvl w:val="0"/>
          <w:numId w:val="2"/>
        </w:numPr>
        <w:spacing w:before="60" w:after="60"/>
      </w:pPr>
      <w:r>
        <w:rPr>
          <w:rFonts w:ascii="Arial" w:cs="Arial" w:eastAsia="Arial" w:hAnsi="Arial"/>
          <w:sz w:val="22"/>
          <w:szCs w:val="22"/>
        </w:rPr>
        <w:t xml:space="preserve">Grant: cada concesión individual de la BDNS.</w:t>
      </w:r>
    </w:p>
    <w:p>
      <w:pPr>
        <w:pStyle w:val="ListParagraph"/>
        <w:numPr>
          <w:ilvl w:val="0"/>
          <w:numId w:val="2"/>
        </w:numPr>
        <w:spacing w:before="60" w:after="60"/>
      </w:pPr>
      <w:r>
        <w:rPr>
          <w:rFonts w:ascii="Arial" w:cs="Arial" w:eastAsia="Arial" w:hAnsi="Arial"/>
          <w:sz w:val="22"/>
          <w:szCs w:val="22"/>
        </w:rPr>
        <w:t xml:space="preserve">Source: cada documento fuente (URL de BOE, web, snapshot de registro).</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9.2 Aristas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Arista</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Semántica y atributos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4E79"/>
                <w:sz w:val="19"/>
                <w:szCs w:val="19"/>
              </w:rPr>
              <w:t xml:space="preserve">Entity -[RECEIVED]→ Grant</w:t>
            </w:r>
          </w:p>
        </w:tc>
        <w:tc>
          <w:tcPr>
            <w:tcW w:type="dxa" w:w="5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Relación concesión-beneficiario. Atributos: importe, fecha, órgano concedente.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Person -[MEMBER_OF]→ Entity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Cargo en junta directiva. Atributos: cargo, cargo_tipo (laico/eclesiástico/ambiguo), fechas.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4E79"/>
                <w:sz w:val="19"/>
                <w:szCs w:val="19"/>
              </w:rPr>
              <w:t xml:space="preserve">Entity -[SAME_AS]→ Entity</w:t>
            </w:r>
          </w:p>
        </w:tc>
        <w:tc>
          <w:tcPr>
            <w:tcW w:type="dxa" w:w="5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Resolución de identidad entre fuentes. Atributos: score de similitud, confirmado_por_humano.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Person -[SAME_AS]→ Person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Resolución de identidad de personas entre fuentes. Siempre requiere confirmación humana antes de ser usada como evidencia publicable.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color w:val="1F4E79"/>
                <w:sz w:val="19"/>
                <w:szCs w:val="19"/>
              </w:rPr>
              <w:t xml:space="preserve">Entity -[MENTIONED_IN]→ Source</w:t>
            </w:r>
          </w:p>
        </w:tc>
        <w:tc>
          <w:tcPr>
            <w:tcW w:type="dxa" w:w="5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19"/>
                <w:szCs w:val="19"/>
              </w:rPr>
              <w:t xml:space="preserve">Trazabilidad documental.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Person -[MENTIONED_IN]→ Source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Trazabilidad documental.</w:t>
            </w:r>
          </w:p>
        </w:tc>
      </w:tr>
    </w:tbl>
    <w:p>
      <w:pPr>
        <w:spacing w:before="80" w:after="80"/>
      </w:pPr>
      <w:r>
        <w:t xml:space="preserve"/>
      </w:r>
    </w:p>
    <w:p>
      <w:pPr>
        <w:pStyle w:val="Heading3"/>
        <w:spacing w:before="240" w:after="120"/>
      </w:pPr>
      <w:r>
        <w:rPr>
          <w:rFonts w:ascii="Arial" w:cs="Arial" w:eastAsia="Arial" w:hAnsi="Arial"/>
          <w:b/>
          <w:bCs/>
          <w:color w:val="595959"/>
          <w:sz w:val="24"/>
          <w:szCs w:val="24"/>
        </w:rPr>
        <w:t xml:space="preserve">9.3 Atributos comunes a todas las aristas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confianza: float (0.0–1.0)</w:t>
      </w:r>
    </w:p>
    <w:p>
      <w:pPr>
        <w:pStyle w:val="ListParagraph"/>
        <w:numPr>
          <w:ilvl w:val="0"/>
          <w:numId w:val="2"/>
        </w:numPr>
        <w:spacing w:before="60" w:after="60"/>
      </w:pPr>
      <w:r>
        <w:rPr>
          <w:rFonts w:ascii="Arial" w:cs="Arial" w:eastAsia="Arial" w:hAnsi="Arial"/>
          <w:sz w:val="22"/>
          <w:szCs w:val="22"/>
        </w:rPr>
        <w:t xml:space="preserve">confirmado_por_humano: bool</w:t>
      </w:r>
    </w:p>
    <w:p>
      <w:pPr>
        <w:pStyle w:val="ListParagraph"/>
        <w:numPr>
          <w:ilvl w:val="0"/>
          <w:numId w:val="2"/>
        </w:numPr>
        <w:spacing w:before="60" w:after="60"/>
      </w:pPr>
      <w:r>
        <w:rPr>
          <w:rFonts w:ascii="Arial" w:cs="Arial" w:eastAsia="Arial" w:hAnsi="Arial"/>
          <w:sz w:val="22"/>
          <w:szCs w:val="22"/>
        </w:rPr>
        <w:t xml:space="preserve">fecha_creacion: datetime</w:t>
      </w:r>
    </w:p>
    <w:p>
      <w:pPr>
        <w:pStyle w:val="ListParagraph"/>
        <w:numPr>
          <w:ilvl w:val="0"/>
          <w:numId w:val="2"/>
        </w:numPr>
        <w:spacing w:before="60" w:after="60"/>
      </w:pPr>
      <w:r>
        <w:rPr>
          <w:rFonts w:ascii="Arial" w:cs="Arial" w:eastAsia="Arial" w:hAnsi="Arial"/>
          <w:sz w:val="22"/>
          <w:szCs w:val="22"/>
        </w:rPr>
        <w:t xml:space="preserve">autor: str (analista o "agent")</w:t>
      </w:r>
    </w:p>
    <w:p>
      <w:pPr>
        <w:pStyle w:val="ListParagraph"/>
        <w:numPr>
          <w:ilvl w:val="0"/>
          <w:numId w:val="2"/>
        </w:numPr>
        <w:spacing w:before="60" w:after="60"/>
      </w:pPr>
      <w:r>
        <w:rPr>
          <w:rFonts w:ascii="Arial" w:cs="Arial" w:eastAsia="Arial" w:hAnsi="Arial"/>
          <w:sz w:val="22"/>
          <w:szCs w:val="22"/>
        </w:rPr>
        <w:t xml:space="preserve">watch_profile_version: str (versión de reglas activa al crearse)</w:t>
      </w:r>
    </w:p>
    <w:p>
      <w:pPr>
        <w:spacing w:before="80" w:after="80"/>
      </w:pPr>
      <w:r>
        <w:t xml:space="preserve"/>
      </w:r>
    </w:p>
    <w:p>
      <w:pPr>
        <w:shd w:fill="D6E4F0" w:val="clear"/>
        <w:spacing w:before="160" w:after="160"/>
        <w:ind w:left="400" w:right="400"/>
      </w:pPr>
      <w:r>
        <w:rPr>
          <w:rFonts w:ascii="Arial" w:cs="Arial" w:eastAsia="Arial" w:hAnsi="Arial"/>
          <w:i/>
          <w:iCs/>
          <w:color w:val="1F4E79"/>
          <w:sz w:val="20"/>
          <w:szCs w:val="20"/>
        </w:rPr>
        <w:t xml:space="preserve">La resolución de identidad de personas (SAME_AS entre Person) nunca es automática para evidencias publicables. El agente puede sugerir matches con score de confianza, pero el analista debe confirmar cada identidad manualmente.</w:t>
      </w:r>
    </w:p>
    <w:p>
      <w:pPr>
        <w:pStyle w:val="Heading1"/>
        <w:spacing w:before="400" w:after="200"/>
      </w:pPr>
      <w:r>
        <w:rPr>
          <w:rFonts w:ascii="Arial" w:cs="Arial" w:eastAsia="Arial" w:hAnsi="Arial"/>
          <w:b/>
          <w:bCs/>
          <w:color w:val="1F4E79"/>
          <w:sz w:val="36"/>
          <w:szCs w:val="36"/>
        </w:rPr>
        <w:t xml:space="preserve">10. Modelos de datos principales (Pydantic v2)</w:t>
      </w:r>
    </w:p>
    <w:p>
      <w:pPr>
        <w:pStyle w:val="Heading3"/>
        <w:spacing w:before="240" w:after="120"/>
      </w:pPr>
      <w:r>
        <w:rPr>
          <w:rFonts w:ascii="Arial" w:cs="Arial" w:eastAsia="Arial" w:hAnsi="Arial"/>
          <w:b/>
          <w:bCs/>
          <w:color w:val="595959"/>
          <w:sz w:val="24"/>
          <w:szCs w:val="24"/>
        </w:rPr>
        <w:t xml:space="preserve">10.1 Evidencia</w:t>
      </w:r>
    </w:p>
    <w:p>
      <w:pPr>
        <w:spacing w:before="80" w:after="80"/>
      </w:pPr>
      <w:r>
        <w:t xml:space="preserve"/>
      </w:r>
    </w:p>
    <w:p>
      <w:pPr>
        <w:shd w:fill="F2F2F2" w:val="clear"/>
        <w:spacing w:before="80" w:after="80"/>
      </w:pPr>
      <w:r>
        <w:rPr>
          <w:rFonts w:ascii="Courier New" w:cs="Courier New" w:eastAsia="Courier New" w:hAnsi="Courier New"/>
          <w:b/>
          <w:bCs/>
          <w:sz w:val="20"/>
          <w:szCs w:val="20"/>
        </w:rPr>
        <w:t xml:space="preserve">class Evidencia(BaseModel):
</w:t>
      </w:r>
      <w:r>
        <w:rPr>
          <w:rFonts w:ascii="Courier New" w:cs="Courier New" w:eastAsia="Courier New" w:hAnsi="Courier New"/>
          <w:sz w:val="20"/>
          <w:szCs w:val="20"/>
        </w:rPr>
        <w:t xml:space="preserve">    fuente: FuenteTipo  # bdns_nif | rer_fuzzy | fundaciones_fuzzy
                        # boe_junta | web_junta | lexico | llm
    señal: str          # qué vio exactamente
    peso: float         # fiabilidad de la fuente (0-1)
    confianza: float    # certeza sobre esta señal concreta (0-1)
    nivel: int          # 1-5
    fuente_url: str | None
    detalle: dict       # específico por tipo de fuente
</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10.2 Finding (hallazgo)</w:t>
      </w:r>
    </w:p>
    <w:p>
      <w:pPr>
        <w:spacing w:before="80" w:after="80"/>
      </w:pPr>
      <w:r>
        <w:t xml:space="preserve"/>
      </w:r>
    </w:p>
    <w:p>
      <w:pPr>
        <w:shd w:fill="F2F2F2" w:val="clear"/>
        <w:spacing w:before="80" w:after="80"/>
      </w:pPr>
      <w:r>
        <w:rPr>
          <w:rFonts w:ascii="Courier New" w:cs="Courier New" w:eastAsia="Courier New" w:hAnsi="Courier New"/>
          <w:b/>
          <w:bCs/>
          <w:sz w:val="20"/>
          <w:szCs w:val="20"/>
        </w:rPr>
        <w:t xml:space="preserve">class Finding(BaseModel):
</w:t>
      </w:r>
      <w:r>
        <w:rPr>
          <w:rFonts w:ascii="Courier New" w:cs="Courier New" w:eastAsia="Courier New" w:hAnsi="Courier New"/>
          <w:sz w:val="20"/>
          <w:szCs w:val="20"/>
        </w:rPr>
        <w:t xml:space="preserve">    entity_id: str
    evidencias: list[Evidencia]
    confianza_agregada: float
    nivel_maximo: int
    narrativa: str       # explicación generada por el sistema
    requiere_revision: bool
    publicable: bool     # solo True si nivel&lt;=3 y confirmado
    estado: EstadoFinding  # pending|confirmed|discarded|investigating
    confirmado_por: str | None
    notas_analista: str | None
</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10.3 WatchProfile y Rule</w:t>
      </w:r>
    </w:p>
    <w:p>
      <w:pPr>
        <w:spacing w:before="80" w:after="80"/>
      </w:pPr>
      <w:r>
        <w:t xml:space="preserve"/>
      </w:r>
    </w:p>
    <w:p>
      <w:pPr>
        <w:shd w:fill="F2F2F2" w:val="clear"/>
        <w:spacing w:before="80" w:after="80"/>
      </w:pPr>
      <w:r>
        <w:rPr>
          <w:rFonts w:ascii="Courier New" w:cs="Courier New" w:eastAsia="Courier New" w:hAnsi="Courier New"/>
          <w:b/>
          <w:bCs/>
          <w:sz w:val="20"/>
          <w:szCs w:val="20"/>
        </w:rPr>
        <w:t xml:space="preserve">class Rule(BaseModel):
</w:t>
      </w:r>
      <w:r>
        <w:rPr>
          <w:rFonts w:ascii="Courier New" w:cs="Courier New" w:eastAsia="Courier New" w:hAnsi="Courier New"/>
          <w:sz w:val="20"/>
          <w:szCs w:val="20"/>
        </w:rPr>
        <w:t xml:space="preserve">    id: str
    label: str
    nivel: int           # certeza asignada si se activa (1-5)
    condition: RuleNode  # árbol AND/OR/NOT/THRESHOLD/Leaf
    explanation: str     # plantilla de narrativa
    activa: bool
    autor: str
    created_at: datetime
</w:t>
      </w:r>
      <w:r>
        <w:rPr>
          <w:rFonts w:ascii="Courier New" w:cs="Courier New" w:eastAsia="Courier New" w:hAnsi="Courier New"/>
          <w:b/>
          <w:bCs/>
          <w:sz w:val="20"/>
          <w:szCs w:val="20"/>
        </w:rPr>
        <w:t xml:space="preserve">class WatchProfile(BaseModel):
</w:t>
      </w:r>
      <w:r>
        <w:rPr>
          <w:rFonts w:ascii="Courier New" w:cs="Courier New" w:eastAsia="Courier New" w:hAnsi="Courier New"/>
          <w:sz w:val="20"/>
          <w:szCs w:val="20"/>
        </w:rPr>
        <w:t xml:space="preserve">    name: str
    version: str
    query_description: str
    rules: list[Rule]
    vocabulario_alto: list[str]   # señales nivel 1-2
    vocabulario_medio: list[str]  # señales nivel 3-4
    exclusiones: list[str]        # patrones a ignorar
</w:t>
      </w:r>
    </w:p>
    <w:p>
      <w:pPr>
        <w:pStyle w:val="Heading1"/>
        <w:spacing w:before="400" w:after="200"/>
      </w:pPr>
      <w:r>
        <w:rPr>
          <w:rFonts w:ascii="Arial" w:cs="Arial" w:eastAsia="Arial" w:hAnsi="Arial"/>
          <w:b/>
          <w:bCs/>
          <w:color w:val="1F4E79"/>
          <w:sz w:val="36"/>
          <w:szCs w:val="36"/>
        </w:rPr>
        <w:t xml:space="preserve">11. Motor de reglas</w:t>
      </w:r>
    </w:p>
    <w:p>
      <w:pPr>
        <w:pStyle w:val="Heading3"/>
        <w:spacing w:before="240" w:after="120"/>
      </w:pPr>
      <w:r>
        <w:rPr>
          <w:rFonts w:ascii="Arial" w:cs="Arial" w:eastAsia="Arial" w:hAnsi="Arial"/>
          <w:b/>
          <w:bCs/>
          <w:color w:val="595959"/>
          <w:sz w:val="24"/>
          <w:szCs w:val="24"/>
        </w:rPr>
        <w:t xml:space="preserve">11.1 Operadores de campo soportados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starts_with, ends_with, contains, contains_any, not_contains_any</w:t>
      </w:r>
    </w:p>
    <w:p>
      <w:pPr>
        <w:pStyle w:val="ListParagraph"/>
        <w:numPr>
          <w:ilvl w:val="0"/>
          <w:numId w:val="2"/>
        </w:numPr>
        <w:spacing w:before="60" w:after="60"/>
      </w:pPr>
      <w:r>
        <w:rPr>
          <w:rFonts w:ascii="Arial" w:cs="Arial" w:eastAsia="Arial" w:hAnsi="Arial"/>
          <w:sz w:val="22"/>
          <w:szCs w:val="22"/>
        </w:rPr>
        <w:t xml:space="preserve">matches_pattern (regex)</w:t>
      </w:r>
    </w:p>
    <w:p>
      <w:pPr>
        <w:pStyle w:val="ListParagraph"/>
        <w:numPr>
          <w:ilvl w:val="0"/>
          <w:numId w:val="2"/>
        </w:numPr>
        <w:spacing w:before="60" w:after="60"/>
      </w:pPr>
      <w:r>
        <w:rPr>
          <w:rFonts w:ascii="Arial" w:cs="Arial" w:eastAsia="Arial" w:hAnsi="Arial"/>
          <w:sz w:val="22"/>
          <w:szCs w:val="22"/>
        </w:rPr>
        <w:t xml:space="preserve">eq, neq, gte, lte, in, not_in</w:t>
      </w:r>
    </w:p>
    <w:p>
      <w:pPr>
        <w:pStyle w:val="ListParagraph"/>
        <w:numPr>
          <w:ilvl w:val="0"/>
          <w:numId w:val="2"/>
        </w:numPr>
        <w:spacing w:before="60" w:after="60"/>
      </w:pPr>
      <w:r>
        <w:rPr>
          <w:rFonts w:ascii="Arial" w:cs="Arial" w:eastAsia="Arial" w:hAnsi="Arial"/>
          <w:sz w:val="22"/>
          <w:szCs w:val="22"/>
        </w:rPr>
        <w:t xml:space="preserve">contains_confirmed_religious (consulta el grafo)</w:t>
      </w:r>
    </w:p>
    <w:p>
      <w:pPr>
        <w:pStyle w:val="ListParagraph"/>
        <w:numPr>
          <w:ilvl w:val="0"/>
          <w:numId w:val="2"/>
        </w:numPr>
        <w:spacing w:before="60" w:after="60"/>
      </w:pPr>
      <w:r>
        <w:rPr>
          <w:rFonts w:ascii="Arial" w:cs="Arial" w:eastAsia="Arial" w:hAnsi="Arial"/>
          <w:sz w:val="22"/>
          <w:szCs w:val="22"/>
        </w:rPr>
        <w:t xml:space="preserve">connected_to_entity_type (tipo de entidad vecina en el grafo)</w:t>
      </w:r>
    </w:p>
    <w:p>
      <w:pPr>
        <w:pStyle w:val="ListParagraph"/>
        <w:numPr>
          <w:ilvl w:val="0"/>
          <w:numId w:val="2"/>
        </w:numPr>
        <w:spacing w:before="60" w:after="60"/>
      </w:pPr>
      <w:r>
        <w:rPr>
          <w:rFonts w:ascii="Arial" w:cs="Arial" w:eastAsia="Arial" w:hAnsi="Arial"/>
          <w:sz w:val="22"/>
          <w:szCs w:val="22"/>
        </w:rPr>
        <w:t xml:space="preserve">person_has_role_in (cargo en entidad conocida)</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11.2 Conectores lógicos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AND — todas las condiciones deben cumplirse</w:t>
      </w:r>
    </w:p>
    <w:p>
      <w:pPr>
        <w:pStyle w:val="ListParagraph"/>
        <w:numPr>
          <w:ilvl w:val="0"/>
          <w:numId w:val="2"/>
        </w:numPr>
        <w:spacing w:before="60" w:after="60"/>
      </w:pPr>
      <w:r>
        <w:rPr>
          <w:rFonts w:ascii="Arial" w:cs="Arial" w:eastAsia="Arial" w:hAnsi="Arial"/>
          <w:sz w:val="22"/>
          <w:szCs w:val="22"/>
        </w:rPr>
        <w:t xml:space="preserve">OR — al menos una condición debe cumplirse</w:t>
      </w:r>
    </w:p>
    <w:p>
      <w:pPr>
        <w:pStyle w:val="ListParagraph"/>
        <w:numPr>
          <w:ilvl w:val="0"/>
          <w:numId w:val="2"/>
        </w:numPr>
        <w:spacing w:before="60" w:after="60"/>
      </w:pPr>
      <w:r>
        <w:rPr>
          <w:rFonts w:ascii="Arial" w:cs="Arial" w:eastAsia="Arial" w:hAnsi="Arial"/>
          <w:sz w:val="22"/>
          <w:szCs w:val="22"/>
        </w:rPr>
        <w:t xml:space="preserve">NOT — negación de una condición</w:t>
      </w:r>
    </w:p>
    <w:p>
      <w:pPr>
        <w:pStyle w:val="ListParagraph"/>
        <w:numPr>
          <w:ilvl w:val="0"/>
          <w:numId w:val="2"/>
        </w:numPr>
        <w:spacing w:before="60" w:after="60"/>
      </w:pPr>
      <w:r>
        <w:rPr>
          <w:rFonts w:ascii="Arial" w:cs="Arial" w:eastAsia="Arial" w:hAnsi="Arial"/>
          <w:sz w:val="22"/>
          <w:szCs w:val="22"/>
        </w:rPr>
        <w:t xml:space="preserve">THRESHOLD(n, [...]) — al menos n de las condiciones listadas deben cumplirse</w:t>
      </w:r>
    </w:p>
    <w:p>
      <w:pPr>
        <w:spacing w:before="80" w:after="80"/>
      </w:pPr>
      <w:r>
        <w:t xml:space="preserve"/>
      </w:r>
    </w:p>
    <w:p>
      <w:pPr>
        <w:shd w:fill="D6E4F0" w:val="clear"/>
        <w:spacing w:before="160" w:after="160"/>
        <w:ind w:left="400" w:right="400"/>
      </w:pPr>
      <w:r>
        <w:rPr>
          <w:rFonts w:ascii="Arial" w:cs="Arial" w:eastAsia="Arial" w:hAnsi="Arial"/>
          <w:i/>
          <w:iCs/>
          <w:color w:val="1F4E79"/>
          <w:sz w:val="20"/>
          <w:szCs w:val="20"/>
        </w:rPr>
        <w:t xml:space="preserve">El operador THRESHOLD es clave para evidencia convergente: permite que varias señales débiles activen una regla de nivel 4 cuando coinciden tres o más de ellas, sin que ninguna por separado sea suficiente.</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11.3 Persistencia de reglas</w:t>
      </w:r>
    </w:p>
    <w:p>
      <w:pPr>
        <w:spacing w:before="80" w:after="80"/>
      </w:pPr>
      <w:r>
        <w:t xml:space="preserve"/>
      </w:r>
    </w:p>
    <w:p>
      <w:pPr>
        <w:spacing w:before="100" w:after="120"/>
      </w:pPr>
      <w:r>
        <w:rPr>
          <w:rFonts w:ascii="Arial" w:cs="Arial" w:eastAsia="Arial" w:hAnsi="Arial"/>
          <w:sz w:val="22"/>
          <w:szCs w:val="22"/>
        </w:rPr>
        <w:t xml:space="preserve">Las reglas se serializan internamente en YAML versionado, gestionado exclusivamente por el sistema. El analista nunca edita ficheros de configuración directamente. Cada versión del WatchProfile queda registrada con timestamp y autor en el grafo. Las evidencias generadas registran la versión de WatchProfile activa en el momento de su creación.</w:t>
      </w:r>
    </w:p>
    <w:p>
      <w:pPr>
        <w:pStyle w:val="Heading1"/>
        <w:spacing w:before="400" w:after="200"/>
      </w:pPr>
      <w:r>
        <w:rPr>
          <w:rFonts w:ascii="Arial" w:cs="Arial" w:eastAsia="Arial" w:hAnsi="Arial"/>
          <w:b/>
          <w:bCs/>
          <w:color w:val="1F4E79"/>
          <w:sz w:val="36"/>
          <w:szCs w:val="36"/>
        </w:rPr>
        <w:t xml:space="preserve">12. Rule Editor (interfaz visual de reglas)</w:t>
      </w:r>
    </w:p>
    <w:p>
      <w:pPr>
        <w:pStyle w:val="Heading3"/>
        <w:spacing w:before="240" w:after="120"/>
      </w:pPr>
      <w:r>
        <w:rPr>
          <w:rFonts w:ascii="Arial" w:cs="Arial" w:eastAsia="Arial" w:hAnsi="Arial"/>
          <w:b/>
          <w:bCs/>
          <w:color w:val="595959"/>
          <w:sz w:val="24"/>
          <w:szCs w:val="24"/>
        </w:rPr>
        <w:t xml:space="preserve">12.1 Integración</w:t>
      </w:r>
    </w:p>
    <w:p>
      <w:pPr>
        <w:spacing w:before="100" w:after="120"/>
      </w:pPr>
      <w:r>
        <w:rPr>
          <w:rFonts w:ascii="Arial" w:cs="Arial" w:eastAsia="Arial" w:hAnsi="Arial"/>
          <w:sz w:val="22"/>
          <w:szCs w:val="22"/>
        </w:rPr>
        <w:t xml:space="preserve">El Rule Editor es una aplicación Gradio que arranca localmente desde el Workbench Jupyter con un único botón. No requiere instalación separada ni servidor externo.</w:t>
      </w:r>
    </w:p>
    <w:p>
      <w:pPr>
        <w:pStyle w:val="Heading3"/>
        <w:spacing w:before="240" w:after="120"/>
      </w:pPr>
      <w:r>
        <w:rPr>
          <w:rFonts w:ascii="Arial" w:cs="Arial" w:eastAsia="Arial" w:hAnsi="Arial"/>
          <w:b/>
          <w:bCs/>
          <w:color w:val="595959"/>
          <w:sz w:val="24"/>
          <w:szCs w:val="24"/>
        </w:rPr>
        <w:t xml:space="preserve">12.2 Funcionalidades requeridas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Creación de reglas mediante formulario: selector de campo, operador y valor para cada condición.</w:t>
      </w:r>
    </w:p>
    <w:p>
      <w:pPr>
        <w:pStyle w:val="ListParagraph"/>
        <w:numPr>
          <w:ilvl w:val="0"/>
          <w:numId w:val="2"/>
        </w:numPr>
        <w:spacing w:before="60" w:after="60"/>
      </w:pPr>
      <w:r>
        <w:rPr>
          <w:rFonts w:ascii="Arial" w:cs="Arial" w:eastAsia="Arial" w:hAnsi="Arial"/>
          <w:sz w:val="22"/>
          <w:szCs w:val="22"/>
        </w:rPr>
        <w:t xml:space="preserve">Composición booleana visual: añadir condiciones con conectores AND/OR, operador NOT como checkbox, operador THRESHOLD con selector de mínimo.</w:t>
      </w:r>
    </w:p>
    <w:p>
      <w:pPr>
        <w:pStyle w:val="ListParagraph"/>
        <w:numPr>
          <w:ilvl w:val="0"/>
          <w:numId w:val="2"/>
        </w:numPr>
        <w:spacing w:before="60" w:after="60"/>
      </w:pPr>
      <w:r>
        <w:rPr>
          <w:rFonts w:ascii="Arial" w:cs="Arial" w:eastAsia="Arial" w:hAnsi="Arial"/>
          <w:sz w:val="22"/>
          <w:szCs w:val="22"/>
        </w:rPr>
        <w:t xml:space="preserve">Selector de nivel de certeza (1-5) con descripción contextual de cada nivel.</w:t>
      </w:r>
    </w:p>
    <w:p>
      <w:pPr>
        <w:pStyle w:val="ListParagraph"/>
        <w:numPr>
          <w:ilvl w:val="0"/>
          <w:numId w:val="2"/>
        </w:numPr>
        <w:spacing w:before="60" w:after="60"/>
      </w:pPr>
      <w:r>
        <w:rPr>
          <w:rFonts w:ascii="Arial" w:cs="Arial" w:eastAsia="Arial" w:hAnsi="Arial"/>
          <w:sz w:val="22"/>
          <w:szCs w:val="22"/>
        </w:rPr>
        <w:t xml:space="preserve">Editor de texto libre para la explicación narrativa de la regla.</w:t>
      </w:r>
    </w:p>
    <w:p>
      <w:pPr>
        <w:pStyle w:val="ListParagraph"/>
        <w:numPr>
          <w:ilvl w:val="0"/>
          <w:numId w:val="2"/>
        </w:numPr>
        <w:spacing w:before="60" w:after="60"/>
      </w:pPr>
      <w:r>
        <w:rPr>
          <w:rFonts w:ascii="Arial" w:cs="Arial" w:eastAsia="Arial" w:hAnsi="Arial"/>
          <w:sz w:val="22"/>
          <w:szCs w:val="22"/>
        </w:rPr>
        <w:t xml:space="preserve">Preview en tiempo real: antes de guardar, el sistema muestra cuántas entidades del lote actual activarían la regla y permite inspeccionarlas.</w:t>
      </w:r>
    </w:p>
    <w:p>
      <w:pPr>
        <w:pStyle w:val="ListParagraph"/>
        <w:numPr>
          <w:ilvl w:val="0"/>
          <w:numId w:val="2"/>
        </w:numPr>
        <w:spacing w:before="60" w:after="60"/>
      </w:pPr>
      <w:r>
        <w:rPr>
          <w:rFonts w:ascii="Arial" w:cs="Arial" w:eastAsia="Arial" w:hAnsi="Arial"/>
          <w:sz w:val="22"/>
          <w:szCs w:val="22"/>
        </w:rPr>
        <w:t xml:space="preserve">Detección de falsos positivos conocidos en el preview.</w:t>
      </w:r>
    </w:p>
    <w:p>
      <w:pPr>
        <w:pStyle w:val="ListParagraph"/>
        <w:numPr>
          <w:ilvl w:val="0"/>
          <w:numId w:val="2"/>
        </w:numPr>
        <w:spacing w:before="60" w:after="60"/>
      </w:pPr>
      <w:r>
        <w:rPr>
          <w:rFonts w:ascii="Arial" w:cs="Arial" w:eastAsia="Arial" w:hAnsi="Arial"/>
          <w:sz w:val="22"/>
          <w:szCs w:val="22"/>
        </w:rPr>
        <w:t xml:space="preserve">Flujo de refinamiento desde hallazgo: cuando el analista descarta un finding, el sistema ofrece añadir automáticamente una exclusión o editar la regla que lo generó.</w:t>
      </w:r>
    </w:p>
    <w:p>
      <w:pPr>
        <w:pStyle w:val="ListParagraph"/>
        <w:numPr>
          <w:ilvl w:val="0"/>
          <w:numId w:val="2"/>
        </w:numPr>
        <w:spacing w:before="60" w:after="60"/>
      </w:pPr>
      <w:r>
        <w:rPr>
          <w:rFonts w:ascii="Arial" w:cs="Arial" w:eastAsia="Arial" w:hAnsi="Arial"/>
          <w:sz w:val="22"/>
          <w:szCs w:val="22"/>
        </w:rPr>
        <w:t xml:space="preserve">Activar / desactivar reglas sin eliminarlas.</w:t>
      </w:r>
    </w:p>
    <w:p>
      <w:pPr>
        <w:pStyle w:val="ListParagraph"/>
        <w:numPr>
          <w:ilvl w:val="0"/>
          <w:numId w:val="2"/>
        </w:numPr>
        <w:spacing w:before="60" w:after="60"/>
      </w:pPr>
      <w:r>
        <w:rPr>
          <w:rFonts w:ascii="Arial" w:cs="Arial" w:eastAsia="Arial" w:hAnsi="Arial"/>
          <w:sz w:val="22"/>
          <w:szCs w:val="22"/>
        </w:rPr>
        <w:t xml:space="preserve">Historial de versiones del WatchProfile con posibilidad de comparar y revertir.</w:t>
      </w:r>
    </w:p>
    <w:p>
      <w:pPr>
        <w:pStyle w:val="Heading1"/>
        <w:spacing w:before="400" w:after="200"/>
      </w:pPr>
      <w:r>
        <w:rPr>
          <w:rFonts w:ascii="Arial" w:cs="Arial" w:eastAsia="Arial" w:hAnsi="Arial"/>
          <w:b/>
          <w:bCs/>
          <w:color w:val="1F4E79"/>
          <w:sz w:val="36"/>
          <w:szCs w:val="36"/>
        </w:rPr>
        <w:t xml:space="preserve">13. Fuentes de datos y colectores</w:t>
      </w:r>
    </w:p>
    <w:p>
      <w:pPr>
        <w:pStyle w:val="Heading3"/>
        <w:spacing w:before="240" w:after="120"/>
      </w:pPr>
      <w:r>
        <w:rPr>
          <w:rFonts w:ascii="Arial" w:cs="Arial" w:eastAsia="Arial" w:hAnsi="Arial"/>
          <w:b/>
          <w:bCs/>
          <w:color w:val="595959"/>
          <w:sz w:val="24"/>
          <w:szCs w:val="24"/>
        </w:rPr>
        <w:t xml:space="preserve">13.1 BDNS — Base de Datos Nacional de Subvenciones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Endpoint: https://www.infosubvenciones.es/bdnstrans/GE/es/api/convocatorias</w:t>
      </w:r>
    </w:p>
    <w:p>
      <w:pPr>
        <w:pStyle w:val="ListParagraph"/>
        <w:numPr>
          <w:ilvl w:val="0"/>
          <w:numId w:val="2"/>
        </w:numPr>
        <w:spacing w:before="60" w:after="60"/>
      </w:pPr>
      <w:r>
        <w:rPr>
          <w:rFonts w:ascii="Arial" w:cs="Arial" w:eastAsia="Arial" w:hAnsi="Arial"/>
          <w:sz w:val="22"/>
          <w:szCs w:val="22"/>
        </w:rPr>
        <w:t xml:space="preserve">Sin autenticación. Paginación por lotes.</w:t>
      </w:r>
    </w:p>
    <w:p>
      <w:pPr>
        <w:pStyle w:val="ListParagraph"/>
        <w:numPr>
          <w:ilvl w:val="0"/>
          <w:numId w:val="2"/>
        </w:numPr>
        <w:spacing w:before="60" w:after="60"/>
      </w:pPr>
      <w:r>
        <w:rPr>
          <w:rFonts w:ascii="Arial" w:cs="Arial" w:eastAsia="Arial" w:hAnsi="Arial"/>
          <w:sz w:val="22"/>
          <w:szCs w:val="22"/>
        </w:rPr>
        <w:t xml:space="preserve">Campos objetivo: NIF beneficiario, nombre beneficiario, importe, órgano concedente, fecha, base legal, objeto.</w:t>
      </w:r>
    </w:p>
    <w:p>
      <w:pPr>
        <w:pStyle w:val="ListParagraph"/>
        <w:numPr>
          <w:ilvl w:val="0"/>
          <w:numId w:val="2"/>
        </w:numPr>
        <w:spacing w:before="60" w:after="60"/>
      </w:pPr>
      <w:r>
        <w:rPr>
          <w:rFonts w:ascii="Arial" w:cs="Arial" w:eastAsia="Arial" w:hAnsi="Arial"/>
          <w:sz w:val="22"/>
          <w:szCs w:val="22"/>
        </w:rPr>
        <w:t xml:space="preserve">Calidad asumida: baja. Nombres con typos, NIFs ausentes, importes nulos. El normalizador asigna data_quality_score y segrega registros no procesables.</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13.2 RER — Registro de Entidades Religiosas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Fuente: Ministerio de Justicia (mjusticia.gob.es).</w:t>
      </w:r>
    </w:p>
    <w:p>
      <w:pPr>
        <w:pStyle w:val="ListParagraph"/>
        <w:numPr>
          <w:ilvl w:val="0"/>
          <w:numId w:val="2"/>
        </w:numPr>
        <w:spacing w:before="60" w:after="60"/>
      </w:pPr>
      <w:r>
        <w:rPr>
          <w:rFonts w:ascii="Arial" w:cs="Arial" w:eastAsia="Arial" w:hAnsi="Arial"/>
          <w:sz w:val="22"/>
          <w:szCs w:val="22"/>
        </w:rPr>
        <w:t xml:space="preserve">Estrategia: snapshot estático descargado periódicamente + flag de entidades no encontradas para revisión humana.</w:t>
      </w:r>
    </w:p>
    <w:p>
      <w:pPr>
        <w:pStyle w:val="ListParagraph"/>
        <w:numPr>
          <w:ilvl w:val="0"/>
          <w:numId w:val="2"/>
        </w:numPr>
        <w:spacing w:before="60" w:after="60"/>
      </w:pPr>
      <w:r>
        <w:rPr>
          <w:rFonts w:ascii="Arial" w:cs="Arial" w:eastAsia="Arial" w:hAnsi="Arial"/>
          <w:sz w:val="22"/>
          <w:szCs w:val="22"/>
        </w:rPr>
        <w:t xml:space="preserve">Matching: fuzzy sobre nombre normalizado (distancia de edición + embeddings vectoriales via sqlite-vec).</w:t>
      </w:r>
    </w:p>
    <w:p>
      <w:pPr>
        <w:pStyle w:val="ListParagraph"/>
        <w:numPr>
          <w:ilvl w:val="0"/>
          <w:numId w:val="2"/>
        </w:numPr>
        <w:spacing w:before="60" w:after="60"/>
      </w:pPr>
      <w:r>
        <w:rPr>
          <w:rFonts w:ascii="Arial" w:cs="Arial" w:eastAsia="Arial" w:hAnsi="Arial"/>
          <w:sz w:val="22"/>
          <w:szCs w:val="22"/>
        </w:rPr>
        <w:t xml:space="preserve">Un no-match NO es evidencia negativa: es ausencia de datos.</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13.3 Registro de Fundaciones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Fragmentado: registro estatal + registros autonómicos.</w:t>
      </w:r>
    </w:p>
    <w:p>
      <w:pPr>
        <w:pStyle w:val="ListParagraph"/>
        <w:numPr>
          <w:ilvl w:val="0"/>
          <w:numId w:val="2"/>
        </w:numPr>
        <w:spacing w:before="60" w:after="60"/>
      </w:pPr>
      <w:r>
        <w:rPr>
          <w:rFonts w:ascii="Arial" w:cs="Arial" w:eastAsia="Arial" w:hAnsi="Arial"/>
          <w:sz w:val="22"/>
          <w:szCs w:val="22"/>
        </w:rPr>
        <w:t xml:space="preserve">Misma estrategia que RER: snapshot + fuzzy match.</w:t>
      </w:r>
    </w:p>
    <w:p>
      <w:pPr>
        <w:pStyle w:val="ListParagraph"/>
        <w:numPr>
          <w:ilvl w:val="0"/>
          <w:numId w:val="2"/>
        </w:numPr>
        <w:spacing w:before="60" w:after="60"/>
      </w:pPr>
      <w:r>
        <w:rPr>
          <w:rFonts w:ascii="Arial" w:cs="Arial" w:eastAsia="Arial" w:hAnsi="Arial"/>
          <w:sz w:val="22"/>
          <w:szCs w:val="22"/>
        </w:rPr>
        <w:t xml:space="preserve">La naturaleza religiosa de una fundación no siempre es explícita en su objeto social; se combina con otras señales.</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13.4 BOE y boletines autonómicos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Fuente: boe.es y boletines autonómicos.</w:t>
      </w:r>
    </w:p>
    <w:p>
      <w:pPr>
        <w:pStyle w:val="ListParagraph"/>
        <w:numPr>
          <w:ilvl w:val="0"/>
          <w:numId w:val="2"/>
        </w:numPr>
        <w:spacing w:before="60" w:after="60"/>
      </w:pPr>
      <w:r>
        <w:rPr>
          <w:rFonts w:ascii="Arial" w:cs="Arial" w:eastAsia="Arial" w:hAnsi="Arial"/>
          <w:sz w:val="22"/>
          <w:szCs w:val="22"/>
        </w:rPr>
        <w:t xml:space="preserve">Objetivo: extraer composición de juntas directivas de asociaciones y fundaciones.</w:t>
      </w:r>
    </w:p>
    <w:p>
      <w:pPr>
        <w:pStyle w:val="ListParagraph"/>
        <w:numPr>
          <w:ilvl w:val="0"/>
          <w:numId w:val="2"/>
        </w:numPr>
        <w:spacing w:before="60" w:after="60"/>
      </w:pPr>
      <w:r>
        <w:rPr>
          <w:rFonts w:ascii="Arial" w:cs="Arial" w:eastAsia="Arial" w:hAnsi="Arial"/>
          <w:sz w:val="22"/>
          <w:szCs w:val="22"/>
        </w:rPr>
        <w:t xml:space="preserve">Parsing: estructurado por secciones del BOE. Extracción de nombre de entidad, nombres de personas, cargos y fechas.</w:t>
      </w:r>
    </w:p>
    <w:p>
      <w:pPr>
        <w:pStyle w:val="ListParagraph"/>
        <w:numPr>
          <w:ilvl w:val="0"/>
          <w:numId w:val="2"/>
        </w:numPr>
        <w:spacing w:before="60" w:after="60"/>
      </w:pPr>
      <w:r>
        <w:rPr>
          <w:rFonts w:ascii="Arial" w:cs="Arial" w:eastAsia="Arial" w:hAnsi="Arial"/>
          <w:sz w:val="22"/>
          <w:szCs w:val="22"/>
        </w:rPr>
        <w:t xml:space="preserve">Output: aristas Person -[MEMBER_OF]→ Entity con fuente_url al documento del BOE.</w:t>
      </w:r>
    </w:p>
    <w:p>
      <w:pPr>
        <w:spacing w:before="80" w:after="80"/>
      </w:pPr>
      <w:r>
        <w:t xml:space="preserve"/>
      </w:r>
    </w:p>
    <w:p>
      <w:pPr>
        <w:pStyle w:val="Heading3"/>
        <w:spacing w:before="240" w:after="120"/>
      </w:pPr>
      <w:r>
        <w:rPr>
          <w:rFonts w:ascii="Arial" w:cs="Arial" w:eastAsia="Arial" w:hAnsi="Arial"/>
          <w:b/>
          <w:bCs/>
          <w:color w:val="595959"/>
          <w:sz w:val="24"/>
          <w:szCs w:val="24"/>
        </w:rPr>
        <w:t xml:space="preserve">13.5 Webs institucionales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Objetivo: páginas «quiénes somos» o «junta directiva» de entidades.</w:t>
      </w:r>
    </w:p>
    <w:p>
      <w:pPr>
        <w:pStyle w:val="ListParagraph"/>
        <w:numPr>
          <w:ilvl w:val="0"/>
          <w:numId w:val="2"/>
        </w:numPr>
        <w:spacing w:before="60" w:after="60"/>
      </w:pPr>
      <w:r>
        <w:rPr>
          <w:rFonts w:ascii="Arial" w:cs="Arial" w:eastAsia="Arial" w:hAnsi="Arial"/>
          <w:sz w:val="22"/>
          <w:szCs w:val="22"/>
        </w:rPr>
        <w:t xml:space="preserve">Estrategia: scraping selectivo activado por el analista o por ausencia de datos en BOE.</w:t>
      </w:r>
    </w:p>
    <w:p>
      <w:pPr>
        <w:pStyle w:val="ListParagraph"/>
        <w:numPr>
          <w:ilvl w:val="0"/>
          <w:numId w:val="2"/>
        </w:numPr>
        <w:spacing w:before="60" w:after="60"/>
      </w:pPr>
      <w:r>
        <w:rPr>
          <w:rFonts w:ascii="Arial" w:cs="Arial" w:eastAsia="Arial" w:hAnsi="Arial"/>
          <w:sz w:val="22"/>
          <w:szCs w:val="22"/>
        </w:rPr>
        <w:t xml:space="preserve">Calidad variable. Siempre requiere confirmación humana antes de usar como evidencia publicable.</w:t>
      </w:r>
    </w:p>
    <w:p>
      <w:pPr>
        <w:pStyle w:val="Heading1"/>
        <w:spacing w:before="400" w:after="200"/>
      </w:pPr>
      <w:r>
        <w:rPr>
          <w:rFonts w:ascii="Arial" w:cs="Arial" w:eastAsia="Arial" w:hAnsi="Arial"/>
          <w:b/>
          <w:bCs/>
          <w:color w:val="1F4E79"/>
          <w:sz w:val="36"/>
          <w:szCs w:val="36"/>
        </w:rPr>
        <w:t xml:space="preserve">14. Umbral de publicación</w:t>
      </w:r>
    </w:p>
    <w:p>
      <w:pPr>
        <w:spacing w:before="100" w:after="120"/>
      </w:pPr>
      <w:r>
        <w:rPr>
          <w:rFonts w:ascii="Arial" w:cs="Arial" w:eastAsia="Arial" w:hAnsi="Arial"/>
          <w:sz w:val="22"/>
          <w:szCs w:val="22"/>
        </w:rPr>
        <w:t xml:space="preserve">El criterio de publicación es conservador por diseño, dado que las afirmaciones publicadas tienen consecuencias sobre entidades identificadas. Una entidad es publicable si se cumplen simultáneamente: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confianza_agregada &gt;= umbral_publicacion (configurable en settings.yaml, por defecto 0.85).</w:t>
      </w:r>
    </w:p>
    <w:p>
      <w:pPr>
        <w:pStyle w:val="ListParagraph"/>
        <w:numPr>
          <w:ilvl w:val="0"/>
          <w:numId w:val="2"/>
        </w:numPr>
        <w:spacing w:before="60" w:after="60"/>
      </w:pPr>
      <w:r>
        <w:rPr>
          <w:rFonts w:ascii="Arial" w:cs="Arial" w:eastAsia="Arial" w:hAnsi="Arial"/>
          <w:sz w:val="22"/>
          <w:szCs w:val="22"/>
        </w:rPr>
        <w:t xml:space="preserve">Estado del Finding = confirmed (confirmación humana explícita).</w:t>
      </w:r>
    </w:p>
    <w:p>
      <w:pPr>
        <w:pStyle w:val="ListParagraph"/>
        <w:numPr>
          <w:ilvl w:val="0"/>
          <w:numId w:val="2"/>
        </w:numPr>
        <w:spacing w:before="60" w:after="60"/>
      </w:pPr>
      <w:r>
        <w:rPr>
          <w:rFonts w:ascii="Arial" w:cs="Arial" w:eastAsia="Arial" w:hAnsi="Arial"/>
          <w:sz w:val="22"/>
          <w:szCs w:val="22"/>
        </w:rPr>
        <w:t xml:space="preserve">Al menos una de: (a) evidencia de nivel 1 o 2, o (b) evidencia de nivel 3 con fuente_url trazable y confirmación humana de identidad de persona.</w:t>
      </w:r>
    </w:p>
    <w:p>
      <w:pPr>
        <w:spacing w:before="80" w:after="80"/>
      </w:pPr>
      <w:r>
        <w:t xml:space="preserve"/>
      </w:r>
    </w:p>
    <w:p>
      <w:pPr>
        <w:shd w:fill="D6E4F0" w:val="clear"/>
        <w:spacing w:before="160" w:after="160"/>
        <w:ind w:left="400" w:right="400"/>
      </w:pPr>
      <w:r>
        <w:rPr>
          <w:rFonts w:ascii="Arial" w:cs="Arial" w:eastAsia="Arial" w:hAnsi="Arial"/>
          <w:i/>
          <w:iCs/>
          <w:color w:val="1F4E79"/>
          <w:sz w:val="20"/>
          <w:szCs w:val="20"/>
        </w:rPr>
        <w:t xml:space="preserve">Los Findings de nivel 4-5, aunque confirmados por el analista, se incluyen en el dataset interno pero se marcan como «no publicables sin investigación adicional». Solo ascienden a publicables cuando una investigación posterior eleva la evidencia a nivel 3 o superior.</w:t>
      </w:r>
    </w:p>
    <w:p>
      <w:pPr>
        <w:pStyle w:val="Heading1"/>
        <w:spacing w:before="400" w:after="200"/>
      </w:pPr>
      <w:r>
        <w:rPr>
          <w:rFonts w:ascii="Arial" w:cs="Arial" w:eastAsia="Arial" w:hAnsi="Arial"/>
          <w:b/>
          <w:bCs/>
          <w:color w:val="1F4E79"/>
          <w:sz w:val="36"/>
          <w:szCs w:val="36"/>
        </w:rPr>
        <w:t xml:space="preserve">15. Estructura del repositorio</w:t>
      </w:r>
    </w:p>
    <w:p>
      <w:pPr>
        <w:spacing w:before="80" w:after="80"/>
      </w:pPr>
      <w:r>
        <w:t xml:space="preserve"/>
      </w:r>
    </w:p>
    <w:p>
      <w:pPr>
        <w:shd w:fill="F2F2F2" w:val="clear"/>
        <w:spacing w:before="80" w:after="80"/>
      </w:pPr>
      <w:r>
        <w:rPr>
          <w:rFonts w:ascii="Courier New" w:cs="Courier New" w:eastAsia="Courier New" w:hAnsi="Courier New"/>
          <w:b/>
          <w:bCs/>
          <w:sz w:val="20"/>
          <w:szCs w:val="20"/>
        </w:rPr>
        <w:t xml:space="preserve">grants-surveyor/
</w:t>
      </w:r>
      <w:r>
        <w:rPr>
          <w:rFonts w:ascii="Courier New" w:cs="Courier New" w:eastAsia="Courier New" w:hAnsi="Courier New"/>
          <w:sz w:val="20"/>
          <w:szCs w:val="20"/>
        </w:rPr>
        <w:t xml:space="preserve">├── grants_surveyor/
│   ├── models/
│   │   ├── entities.py    # Entity, Person, aristas SAME_AS
│   │   ├── grants.py      # Grant, Concesion BDNS
│   │   ├── evidence.py    # Evidencia, EvidenceLevel, Finding
│   │   ├── sources.py     # Source, BOEDocument, WebPage
│   │   ├── rules.py       # Rule, RuleNode, WatchProfile
│   │   └── tasks.py       # InvestigationTask, Alert
│   ├── graph/
│   │   ├── store.py       # SQLite + sqlite-vec, CRUD
│   │   ├── resolver.py    # Resolución de identidad
│   │   └── propagator.py  # Irradiación tras confirmación
│   ├── collectors/
│   │   ├── bdns.py        # Cliente async BDNS
│   │   ├── rer.py         # Snapshot + fuzzy match RER
│   │   ├── boe.py         # Parser BOE juntas directivas
│   │   └── web.py         # Scraper webs institucionales
│   ├── engine/
│   │   ├── rule_engine.py # Compilador y evaluador de reglas
│   │   └── aggregator.py  # Combina evidencias → confianza
│   ├── agent/
│   │   ├── enricher.py    # Orquesta collectors → evidencias
│   │   ├── evaluator.py   # Genera Finding con narrativa
│   │   └── prompts/       # Jinja2 templates versionados
│   ├── pipeline/
│   │   ├── runner.py      # Orquestador principal
│   │   └── cycle_store.py # Log y métricas por ciclo
│   ├── workbench/
│   │   └── notebook.ipynb # Jupyter + ipywidgets
│   └── reporter/
│       ├── exporter.py    # CSV, JSON
│       └── renderer.py    # Markdown, HTML
├── data/
│   ├── grants_surveyor.db
│   ├── snapshots/         # RER, fundaciones
│   └── cycles/            # logs por ejecución
├── config/
│   ├── settings.yaml
│   └── watch_profiles/    # un YAML por caso de uso
├── tests/
└── notebooks/
    └── exploration/       # análisis ad-hoc
</w:t>
      </w:r>
    </w:p>
    <w:p>
      <w:pPr>
        <w:pStyle w:val="Heading1"/>
        <w:spacing w:before="400" w:after="200"/>
      </w:pPr>
      <w:r>
        <w:rPr>
          <w:rFonts w:ascii="Arial" w:cs="Arial" w:eastAsia="Arial" w:hAnsi="Arial"/>
          <w:b/>
          <w:bCs/>
          <w:color w:val="1F4E79"/>
          <w:sz w:val="36"/>
          <w:szCs w:val="36"/>
        </w:rPr>
        <w:t xml:space="preserve">16. Orden de construcción</w:t>
      </w:r>
    </w:p>
    <w:p>
      <w:pPr>
        <w:spacing w:before="100" w:after="120"/>
      </w:pPr>
      <w:r>
        <w:rPr>
          <w:rFonts w:ascii="Arial" w:cs="Arial" w:eastAsia="Arial" w:hAnsi="Arial"/>
          <w:sz w:val="22"/>
          <w:szCs w:val="22"/>
        </w:rPr>
        <w:t xml:space="preserve">Los componentes se construyen en el siguiente orden para garantizar que cada pieza tiene una base funcional en la que apoyarse:</w:t>
      </w:r>
    </w:p>
    <w:p>
      <w:pPr>
        <w:spacing w:before="80" w:after="80"/>
      </w:pPr>
      <w:r>
        <w:t xml:space="preserve"/>
      </w:r>
    </w:p>
    <w:p>
      <w:pPr>
        <w:pStyle w:val="ListParagraph"/>
        <w:numPr>
          <w:ilvl w:val="0"/>
          <w:numId w:val="3"/>
        </w:numPr>
        <w:spacing w:before="80" w:after="60"/>
      </w:pPr>
      <w:r>
        <w:rPr>
          <w:rFonts w:ascii="Arial" w:cs="Arial" w:eastAsia="Arial" w:hAnsi="Arial"/>
          <w:sz w:val="22"/>
          <w:szCs w:val="22"/>
        </w:rPr>
        <w:t xml:space="preserve">models/ — los seis ficheros de modelos Pydantic. Contratos de todo lo demás.</w:t>
      </w:r>
    </w:p>
    <w:p>
      <w:pPr>
        <w:pStyle w:val="ListParagraph"/>
        <w:numPr>
          <w:ilvl w:val="0"/>
          <w:numId w:val="3"/>
        </w:numPr>
        <w:spacing w:before="60" w:after="60"/>
      </w:pPr>
      <w:r>
        <w:rPr>
          <w:rFonts w:ascii="Arial" w:cs="Arial" w:eastAsia="Arial" w:hAnsi="Arial"/>
          <w:sz w:val="22"/>
          <w:szCs w:val="22"/>
        </w:rPr>
        <w:t xml:space="preserve">graph/store.py — SQLite con sqlite-vec. Sin persistencia nada funciona.</w:t>
      </w:r>
    </w:p>
    <w:p>
      <w:pPr>
        <w:pStyle w:val="ListParagraph"/>
        <w:numPr>
          <w:ilvl w:val="0"/>
          <w:numId w:val="3"/>
        </w:numPr>
        <w:spacing w:before="60" w:after="60"/>
      </w:pPr>
      <w:r>
        <w:rPr>
          <w:rFonts w:ascii="Arial" w:cs="Arial" w:eastAsia="Arial" w:hAnsi="Arial"/>
          <w:sz w:val="22"/>
          <w:szCs w:val="22"/>
        </w:rPr>
        <w:t xml:space="preserve">collectors/bdns.py — datos reales desde el primer día.</w:t>
      </w:r>
    </w:p>
    <w:p>
      <w:pPr>
        <w:pStyle w:val="ListParagraph"/>
        <w:numPr>
          <w:ilvl w:val="0"/>
          <w:numId w:val="3"/>
        </w:numPr>
        <w:spacing w:before="60" w:after="60"/>
      </w:pPr>
      <w:r>
        <w:rPr>
          <w:rFonts w:ascii="Arial" w:cs="Arial" w:eastAsia="Arial" w:hAnsi="Arial"/>
          <w:sz w:val="22"/>
          <w:szCs w:val="22"/>
        </w:rPr>
        <w:t xml:space="preserve">engine/rule_engine.py — motor de reglas con operadores básicos.</w:t>
      </w:r>
    </w:p>
    <w:p>
      <w:pPr>
        <w:pStyle w:val="ListParagraph"/>
        <w:numPr>
          <w:ilvl w:val="0"/>
          <w:numId w:val="3"/>
        </w:numPr>
        <w:spacing w:before="60" w:after="60"/>
      </w:pPr>
      <w:r>
        <w:rPr>
          <w:rFonts w:ascii="Arial" w:cs="Arial" w:eastAsia="Arial" w:hAnsi="Arial"/>
          <w:sz w:val="22"/>
          <w:szCs w:val="22"/>
        </w:rPr>
        <w:t xml:space="preserve">agent/evaluator.py + prompts — clasificador con narrativa.</w:t>
      </w:r>
    </w:p>
    <w:p>
      <w:pPr>
        <w:pStyle w:val="ListParagraph"/>
        <w:numPr>
          <w:ilvl w:val="0"/>
          <w:numId w:val="3"/>
        </w:numPr>
        <w:spacing w:before="60" w:after="60"/>
      </w:pPr>
      <w:r>
        <w:rPr>
          <w:rFonts w:ascii="Arial" w:cs="Arial" w:eastAsia="Arial" w:hAnsi="Arial"/>
          <w:sz w:val="22"/>
          <w:szCs w:val="22"/>
        </w:rPr>
        <w:t xml:space="preserve">graph/resolver.py — resolución de identidad de entidades (personas después).</w:t>
      </w:r>
    </w:p>
    <w:p>
      <w:pPr>
        <w:pStyle w:val="ListParagraph"/>
        <w:numPr>
          <w:ilvl w:val="0"/>
          <w:numId w:val="3"/>
        </w:numPr>
        <w:spacing w:before="60" w:after="60"/>
      </w:pPr>
      <w:r>
        <w:rPr>
          <w:rFonts w:ascii="Arial" w:cs="Arial" w:eastAsia="Arial" w:hAnsi="Arial"/>
          <w:sz w:val="22"/>
          <w:szCs w:val="22"/>
        </w:rPr>
        <w:t xml:space="preserve">workbench/notebook.ipynb — primer loop humano completo.</w:t>
      </w:r>
    </w:p>
    <w:p>
      <w:pPr>
        <w:pStyle w:val="ListParagraph"/>
        <w:numPr>
          <w:ilvl w:val="0"/>
          <w:numId w:val="3"/>
        </w:numPr>
        <w:spacing w:before="60" w:after="60"/>
      </w:pPr>
      <w:r>
        <w:rPr>
          <w:rFonts w:ascii="Arial" w:cs="Arial" w:eastAsia="Arial" w:hAnsi="Arial"/>
          <w:sz w:val="22"/>
          <w:szCs w:val="22"/>
        </w:rPr>
        <w:t xml:space="preserve">Rule Editor (Gradio) — interfaz visual de reglas integrada en el Workbench.</w:t>
      </w:r>
    </w:p>
    <w:p>
      <w:pPr>
        <w:pStyle w:val="ListParagraph"/>
        <w:numPr>
          <w:ilvl w:val="0"/>
          <w:numId w:val="3"/>
        </w:numPr>
        <w:spacing w:before="60" w:after="60"/>
      </w:pPr>
      <w:r>
        <w:rPr>
          <w:rFonts w:ascii="Arial" w:cs="Arial" w:eastAsia="Arial" w:hAnsi="Arial"/>
          <w:sz w:val="22"/>
          <w:szCs w:val="22"/>
        </w:rPr>
        <w:t xml:space="preserve">graph/propagator.py — irradiación tras confirmación.</w:t>
      </w:r>
    </w:p>
    <w:p>
      <w:pPr>
        <w:pStyle w:val="ListParagraph"/>
        <w:numPr>
          <w:ilvl w:val="0"/>
          <w:numId w:val="3"/>
        </w:numPr>
        <w:spacing w:before="60" w:after="60"/>
      </w:pPr>
      <w:r>
        <w:rPr>
          <w:rFonts w:ascii="Arial" w:cs="Arial" w:eastAsia="Arial" w:hAnsi="Arial"/>
          <w:sz w:val="22"/>
          <w:szCs w:val="22"/>
        </w:rPr>
        <w:t xml:space="preserve">collectors/rer.py + boe.py — enriquecimiento real con fuentes externas.</w:t>
      </w:r>
    </w:p>
    <w:p>
      <w:pPr>
        <w:pStyle w:val="ListParagraph"/>
        <w:numPr>
          <w:ilvl w:val="0"/>
          <w:numId w:val="3"/>
        </w:numPr>
        <w:spacing w:before="60" w:after="80"/>
      </w:pPr>
      <w:r>
        <w:rPr>
          <w:rFonts w:ascii="Arial" w:cs="Arial" w:eastAsia="Arial" w:hAnsi="Arial"/>
          <w:sz w:val="22"/>
          <w:szCs w:val="22"/>
        </w:rPr>
        <w:t xml:space="preserve">reporter/ — outputs publicables.</w:t>
      </w:r>
    </w:p>
    <w:p>
      <w:pPr>
        <w:spacing w:before="80" w:after="80"/>
      </w:pPr>
      <w:r>
        <w:t xml:space="preserve"/>
      </w:r>
    </w:p>
    <w:p>
      <w:pPr>
        <w:shd w:fill="D6E4F0" w:val="clear"/>
        <w:spacing w:before="160" w:after="160"/>
        <w:ind w:left="400" w:right="400"/>
      </w:pPr>
      <w:r>
        <w:rPr>
          <w:rFonts w:ascii="Arial" w:cs="Arial" w:eastAsia="Arial" w:hAnsi="Arial"/>
          <w:i/>
          <w:iCs/>
          <w:color w:val="1F4E79"/>
          <w:sz w:val="20"/>
          <w:szCs w:val="20"/>
        </w:rPr>
        <w:t xml:space="preserve">Cada fase produce un entregable funcional mínimo antes de pasar a la siguiente. El sistema es usable (con capacidades reducidas) desde el paso 7.</w:t>
      </w:r>
    </w:p>
    <w:p>
      <w:pPr>
        <w:spacing w:before="80" w:after="80"/>
      </w:pPr>
      <w:r>
        <w:t xml:space="preserve"/>
      </w:r>
    </w:p>
    <w:p>
      <w:pPr>
        <w:spacing w:before="80" w:after="80"/>
      </w:pPr>
      <w:r>
        <w:t xml:space="preserve"/>
      </w:r>
    </w:p>
    <w:p>
      <w:pPr>
        <w:pBdr>
          <w:top w:val="single" w:color="2E75B6" w:sz="4" w:space="4"/>
        </w:pBdr>
        <w:spacing w:before="200" w:after="0"/>
        <w:jc w:val="center"/>
      </w:pPr>
      <w:r>
        <w:rPr>
          <w:rFonts w:ascii="Arial" w:cs="Arial" w:eastAsia="Arial" w:hAnsi="Arial"/>
          <w:i/>
          <w:iCs/>
          <w:color w:val="595959"/>
          <w:sz w:val="18"/>
          <w:szCs w:val="18"/>
        </w:rPr>
        <w:t xml:space="preserve">GrantsSurveyor · Documento de concepto v1.0 · Marzo 2026</w:t>
      </w:r>
    </w:p>
    <w:p>
      <w:pPr>
        <w:pStyle w:val="Heading1"/>
        <w:spacing w:before="400" w:after="200"/>
      </w:pPr>
      <w:r>
        <w:rPr>
          <w:rFonts w:ascii="Arial" w:hAnsi="Arial"/>
          <w:b/>
          <w:sz w:val="36"/>
          <w:szCs w:val="36"/>
          <w:color w:val="1F4E79"/>
        </w:rPr>
        <w:t xml:space="preserve">19. Integración con OpenDataManager</w:t>
      </w:r>
    </w:p>
    <w:p>
      <w:pPr>
        <w:spacing w:before="80" w:after="100"/>
      </w:pPr>
      <w:r>
        <w:rPr>
          <w:rFonts w:ascii="Arial" w:hAnsi="Arial"/>
          <w:sz w:val="22"/>
          <w:szCs w:val="22"/>
        </w:rPr>
        <w:t xml:space="preserve">GrantsSurveyor no gestiona la extracción de datos directamente. Actúa como cliente de OpenDataManager, que es la capa de infraestructura responsable de extraer, transformar y almacenar datos de fuentes abiertas. GrantsSurveyor aporta la capa de inteligencia: motor de reglas, evaluación con IA, grafo de conocimiento y banco de trabajo para el analista.</w:t>
      </w:r>
    </w:p>
    <w:p>
      <w:pPr>
        <w:pStyle w:val="Heading2"/>
        <w:spacing w:before="300" w:after="160"/>
      </w:pPr>
      <w:r>
        <w:rPr>
          <w:rFonts w:ascii="Arial" w:hAnsi="Arial"/>
          <w:b/>
          <w:sz w:val="28"/>
          <w:szCs w:val="28"/>
          <w:color w:val="2E75B6"/>
        </w:rPr>
        <w:t xml:space="preserve">19.1 Responsabilidades de cada sistema</w:t>
      </w:r>
    </w:p>
    <w:p>
      <w:pPr>
        <w:numPr>
          <w:ilvl w:val="0"/>
          <w:numId w:val="1"/>
        </w:numPr>
        <w:spacing w:before="60" w:after="60"/>
      </w:pPr>
      <w:r>
        <w:rPr>
          <w:rFonts w:ascii="Arial" w:hAnsi="Arial"/>
          <w:sz w:val="22"/>
          <w:szCs w:val="22"/>
          <w:b/>
        </w:rPr>
        <w:t xml:space="preserve">OpenDataManager: </w:t>
      </w:r>
      <w:r>
        <w:rPr>
          <w:rFonts w:ascii="Arial" w:hAnsi="Arial"/>
          <w:sz w:val="22"/>
          <w:szCs w:val="22"/>
        </w:rPr>
        <w:t xml:space="preserve">registro de Resources y Fetchers, ejecución del ETL, almacenamiento en core schema, notificación via webhook a aplicaciones suscritas.</w:t>
      </w:r>
    </w:p>
    <w:p>
      <w:pPr>
        <w:numPr>
          <w:ilvl w:val="0"/>
          <w:numId w:val="1"/>
        </w:numPr>
        <w:spacing w:before="60" w:after="60"/>
      </w:pPr>
      <w:r>
        <w:rPr>
          <w:rFonts w:ascii="Arial" w:hAnsi="Arial"/>
          <w:sz w:val="22"/>
          <w:szCs w:val="22"/>
          <w:b/>
        </w:rPr>
        <w:t xml:space="preserve">GrantsSurveyor: </w:t>
      </w:r>
      <w:r>
        <w:rPr>
          <w:rFonts w:ascii="Arial" w:hAnsi="Arial"/>
          <w:sz w:val="22"/>
          <w:szCs w:val="22"/>
        </w:rPr>
        <w:t xml:space="preserve">recepción del webhook, consulta via GraphQL, normalización con lógica de dominio, evaluación con motor de reglas e IA, grafo de conocimiento, banco de trabajo, informes.</w:t>
      </w:r>
    </w:p>
    <w:p>
      <w:pPr>
        <w:numPr>
          <w:ilvl w:val="0"/>
          <w:numId w:val="1"/>
        </w:numPr>
        <w:spacing w:before="60" w:after="80"/>
      </w:pPr>
      <w:r>
        <w:rPr>
          <w:rFonts w:ascii="Arial" w:hAnsi="Arial"/>
          <w:sz w:val="22"/>
          <w:szCs w:val="22"/>
          <w:b/>
        </w:rPr>
        <w:t xml:space="preserve">Fuera del alcance de GrantsSurveyor: </w:t>
      </w:r>
      <w:r>
        <w:rPr>
          <w:rFonts w:ascii="Arial" w:hAnsi="Arial"/>
          <w:sz w:val="22"/>
          <w:szCs w:val="22"/>
        </w:rPr>
        <w:t xml:space="preserve">scheduling de extracciones, gestión de credenciales de fuentes, versionado de datos crudos.</w:t>
      </w:r>
    </w:p>
    <w:p>
      <w:pPr>
        <w:pStyle w:val="Heading2"/>
        <w:spacing w:before="300" w:after="160"/>
      </w:pPr>
      <w:r>
        <w:rPr>
          <w:rFonts w:ascii="Arial" w:hAnsi="Arial"/>
          <w:b/>
          <w:sz w:val="28"/>
          <w:szCs w:val="28"/>
          <w:color w:val="2E75B6"/>
        </w:rPr>
        <w:t xml:space="preserve">19.2 Resources requeridos en OpenDataManager</w:t>
      </w:r>
    </w:p>
    <w:p>
      <w:pPr>
        <w:numPr>
          <w:ilvl w:val="0"/>
          <w:numId w:val="1"/>
        </w:numPr>
        <w:spacing w:before="60" w:after="60"/>
      </w:pPr>
      <w:r>
        <w:rPr>
          <w:rFonts w:ascii="Arial" w:hAnsi="Arial"/>
          <w:sz w:val="22"/>
          <w:szCs w:val="22"/>
          <w:b/>
        </w:rPr>
        <w:t xml:space="preserve">bdns_concesiones [existente]: </w:t>
      </w:r>
      <w:r>
        <w:rPr>
          <w:rFonts w:ascii="Arial" w:hAnsi="Arial"/>
          <w:sz w:val="22"/>
          <w:szCs w:val="22"/>
        </w:rPr>
        <w:t xml:space="preserve">concesiones de subvenciones públicas. Fuente: API REST BDNS (Ministerio de Hacienda). Campos garantizados mínimos: id_bdns, beneficiario, nif_beneficiario, importe, fecha_concesion, organo_concedente, cod_ccaa, desc_convocatoria.</w:t>
      </w:r>
    </w:p>
    <w:p>
      <w:pPr>
        <w:numPr>
          <w:ilvl w:val="0"/>
          <w:numId w:val="1"/>
        </w:numPr>
        <w:spacing w:before="60" w:after="60"/>
      </w:pPr>
      <w:r>
        <w:rPr>
          <w:rFonts w:ascii="Arial" w:hAnsi="Arial"/>
          <w:sz w:val="22"/>
          <w:szCs w:val="22"/>
          <w:b/>
        </w:rPr>
        <w:t xml:space="preserve">rer_entidades [nuevo]: </w:t>
      </w:r>
      <w:r>
        <w:rPr>
          <w:rFonts w:ascii="Arial" w:hAnsi="Arial"/>
          <w:sz w:val="22"/>
          <w:szCs w:val="22"/>
        </w:rPr>
        <w:t xml:space="preserve">entidades del Registro de Entidades Religiosas. Fuente: CSV datos.gob.es (Ministerio de Justicia). Campos garantizados: id_rer, nombre, tipo_entidad, estado, fecha_inscripcion.</w:t>
      </w:r>
    </w:p>
    <w:p>
      <w:pPr>
        <w:numPr>
          <w:ilvl w:val="0"/>
          <w:numId w:val="1"/>
        </w:numPr>
        <w:spacing w:before="60" w:after="60"/>
      </w:pPr>
      <w:r>
        <w:rPr>
          <w:rFonts w:ascii="Arial" w:hAnsi="Arial"/>
          <w:sz w:val="22"/>
          <w:szCs w:val="22"/>
          <w:b/>
        </w:rPr>
        <w:t xml:space="preserve">boe_sumarios [nuevo, opcional]: </w:t>
      </w:r>
      <w:r>
        <w:rPr>
          <w:rFonts w:ascii="Arial" w:hAnsi="Arial"/>
          <w:sz w:val="22"/>
          <w:szCs w:val="22"/>
        </w:rPr>
        <w:t xml:space="preserve">sumarios diarios del BOE. Fuente: API REST oficial boe.es/datosabiertos. Requiere fetcher especializado con extracción de texto estructurado. Activación opcional según la investigación.</w:t>
      </w:r>
    </w:p>
    <w:p>
      <w:pPr>
        <w:numPr>
          <w:ilvl w:val="0"/>
          <w:numId w:val="1"/>
        </w:numPr>
        <w:spacing w:before="60" w:after="80"/>
      </w:pPr>
      <w:r>
        <w:rPr>
          <w:rFonts w:ascii="Arial" w:hAnsi="Arial"/>
          <w:sz w:val="22"/>
          <w:szCs w:val="22"/>
          <w:b/>
        </w:rPr>
        <w:t xml:space="preserve">Otros registros [futuros]: </w:t>
      </w:r>
      <w:r>
        <w:rPr>
          <w:rFonts w:ascii="Arial" w:hAnsi="Arial"/>
          <w:sz w:val="22"/>
          <w:szCs w:val="22"/>
        </w:rPr>
        <w:t xml:space="preserve">Registro de Fundaciones, BORME, registros autonómicos de asociaciones. Se añadirán como Resources en OpenDataManager según las necesidades de cada investigación.</w:t>
      </w:r>
    </w:p>
    <w:p>
      <w:pPr>
        <w:pStyle w:val="Heading1"/>
        <w:spacing w:before="400" w:after="200"/>
      </w:pPr>
      <w:r>
        <w:rPr>
          <w:rFonts w:ascii="Arial" w:hAnsi="Arial"/>
          <w:b/>
          <w:sz w:val="36"/>
          <w:szCs w:val="36"/>
          <w:color w:val="1F4E79"/>
        </w:rPr>
        <w:t xml:space="preserve">20. Rastreo y generación de extractores por el agente (pendiente)</w:t>
      </w:r>
    </w:p>
    <w:p>
      <w:pPr>
        <w:spacing w:before="80" w:after="100"/>
      </w:pPr>
      <w:r>
        <w:rPr>
          <w:rFonts w:ascii="Arial" w:hAnsi="Arial"/>
          <w:sz w:val="22"/>
          <w:szCs w:val="22"/>
        </w:rPr>
        <w:t xml:space="preserve">La selección de fuentes de datos es una decisión del investigador. El agente la apoya de dos formas: primero rastreando activamente todas las fuentes potencialmente relevantes para la pregunta de vigilancia; segundo, cuando una fuente no tiene extractor en OpenDataManager, proponiéndolo o generándolo directamente siguiendo el patrón BaseFetcher de OpenDataManager.</w:t>
      </w:r>
    </w:p>
    <w:p>
      <w:pPr>
        <w:pStyle w:val="Heading2"/>
        <w:spacing w:before="300" w:after="160"/>
      </w:pPr>
      <w:r>
        <w:rPr>
          <w:rFonts w:ascii="Arial" w:hAnsi="Arial"/>
          <w:b/>
          <w:sz w:val="28"/>
          <w:szCs w:val="28"/>
          <w:color w:val="2E75B6"/>
        </w:rPr>
        <w:t xml:space="preserve">20.1 Flujo de onboarding de investigación</w:t>
      </w:r>
    </w:p>
    <w:p>
      <w:pPr>
        <w:numPr>
          <w:ilvl w:val="0"/>
          <w:numId w:val="2"/>
        </w:numPr>
        <w:spacing w:before="60" w:after="60"/>
      </w:pPr>
      <w:r>
        <w:rPr>
          <w:rFonts w:ascii="Arial" w:hAnsi="Arial"/>
          <w:sz w:val="22"/>
          <w:szCs w:val="22"/>
        </w:rPr>
        <w:t xml:space="preserve">El analista describe la pregunta de vigilancia en lenguaje natural.</w:t>
      </w:r>
    </w:p>
    <w:p>
      <w:pPr>
        <w:numPr>
          <w:ilvl w:val="0"/>
          <w:numId w:val="2"/>
        </w:numPr>
        <w:spacing w:before="60" w:after="60"/>
      </w:pPr>
      <w:r>
        <w:rPr>
          <w:rFonts w:ascii="Arial" w:hAnsi="Arial"/>
          <w:sz w:val="22"/>
          <w:szCs w:val="22"/>
        </w:rPr>
        <w:t xml:space="preserve">El agente rastrea todas las fuentes de información potencialmente relevantes: registros oficiales, bases de datos abiertas, portales de datos públicos y cualquier otra fuente accesible relacionada con la pregunta.</w:t>
      </w:r>
    </w:p>
    <w:p>
      <w:pPr>
        <w:numPr>
          <w:ilvl w:val="0"/>
          <w:numId w:val="2"/>
        </w:numPr>
        <w:spacing w:before="60" w:after="60"/>
      </w:pPr>
      <w:r>
        <w:rPr>
          <w:rFonts w:ascii="Arial" w:hAnsi="Arial"/>
          <w:sz w:val="22"/>
          <w:szCs w:val="22"/>
        </w:rPr>
        <w:t xml:space="preserve">Para cada fuente, el agente evalúa su estado respecto a OpenDataManager y genera el inventario en cuatro categorías (ver sección 20.2).</w:t>
      </w:r>
    </w:p>
    <w:p>
      <w:pPr>
        <w:numPr>
          <w:ilvl w:val="0"/>
          <w:numId w:val="2"/>
        </w:numPr>
        <w:spacing w:before="60" w:after="60"/>
      </w:pPr>
      <w:r>
        <w:rPr>
          <w:rFonts w:ascii="Arial" w:hAnsi="Arial"/>
          <w:sz w:val="22"/>
          <w:szCs w:val="22"/>
        </w:rPr>
        <w:t xml:space="preserve">El analista revisa el inventario, confirma las fuentes a activar, puede añadir otras no propuestas y descarta las irrelevantes.</w:t>
      </w:r>
    </w:p>
    <w:p>
      <w:pPr>
        <w:numPr>
          <w:ilvl w:val="0"/>
          <w:numId w:val="2"/>
        </w:numPr>
        <w:spacing w:before="60" w:after="80"/>
      </w:pPr>
      <w:r>
        <w:rPr>
          <w:rFonts w:ascii="Arial" w:hAnsi="Arial"/>
          <w:sz w:val="22"/>
          <w:szCs w:val="22"/>
        </w:rPr>
        <w:t xml:space="preserve">Solo tras confirmación humana se crean las ResourceSubscriptions en OpenDataManager y se activa el pipeline de la investigación.</w:t>
      </w:r>
    </w:p>
    <w:p>
      <w:pPr>
        <w:pStyle w:val="Heading2"/>
        <w:spacing w:before="300" w:after="160"/>
      </w:pPr>
      <w:r>
        <w:rPr>
          <w:rFonts w:ascii="Arial" w:hAnsi="Arial"/>
          <w:b/>
          <w:sz w:val="28"/>
          <w:szCs w:val="28"/>
          <w:color w:val="2E75B6"/>
        </w:rPr>
        <w:t xml:space="preserve">20.2 Inventario de fuentes: cuatro categorías</w:t>
      </w:r>
    </w:p>
    <w:p>
      <w:pPr>
        <w:numPr>
          <w:ilvl w:val="0"/>
          <w:numId w:val="1"/>
        </w:numPr>
        <w:spacing w:before="60" w:after="60"/>
      </w:pPr>
      <w:r>
        <w:rPr>
          <w:rFonts w:ascii="Arial" w:hAnsi="Arial"/>
          <w:sz w:val="22"/>
          <w:szCs w:val="22"/>
          <w:b/>
        </w:rPr>
        <w:t xml:space="preserve">Disponible y activo: </w:t>
      </w:r>
      <w:r>
        <w:rPr>
          <w:rFonts w:ascii="Arial" w:hAnsi="Arial"/>
          <w:sz w:val="22"/>
          <w:szCs w:val="22"/>
        </w:rPr>
        <w:t xml:space="preserve">Resource ya definido en OpenDataManager con fetcher funcional. El analista puede activarlo inmediatamente.</w:t>
      </w:r>
    </w:p>
    <w:p>
      <w:pPr>
        <w:numPr>
          <w:ilvl w:val="0"/>
          <w:numId w:val="1"/>
        </w:numPr>
        <w:spacing w:before="60" w:after="60"/>
      </w:pPr>
      <w:r>
        <w:rPr>
          <w:rFonts w:ascii="Arial" w:hAnsi="Arial"/>
          <w:sz w:val="22"/>
          <w:szCs w:val="22"/>
          <w:b/>
        </w:rPr>
        <w:t xml:space="preserve">Disponible, requiere configuración: </w:t>
      </w:r>
      <w:r>
        <w:rPr>
          <w:rFonts w:ascii="Arial" w:hAnsi="Arial"/>
          <w:sz w:val="22"/>
          <w:szCs w:val="22"/>
        </w:rPr>
        <w:t xml:space="preserve">el tipo de fetcher existe en OpenDataManager pero el Resource concreto no está definido. El agente proporciona los parámetros exactos necesarios para que un técnico lo registre.</w:t>
      </w:r>
    </w:p>
    <w:p>
      <w:pPr>
        <w:numPr>
          <w:ilvl w:val="0"/>
          <w:numId w:val="1"/>
        </w:numPr>
        <w:spacing w:before="60" w:after="60"/>
      </w:pPr>
      <w:r>
        <w:rPr>
          <w:rFonts w:ascii="Arial" w:hAnsi="Arial"/>
          <w:sz w:val="22"/>
          <w:szCs w:val="22"/>
          <w:b/>
        </w:rPr>
        <w:t xml:space="preserve">Requiere nuevo fetcher: </w:t>
      </w:r>
      <w:r>
        <w:rPr>
          <w:rFonts w:ascii="Arial" w:hAnsi="Arial"/>
          <w:sz w:val="22"/>
          <w:szCs w:val="22"/>
        </w:rPr>
        <w:t xml:space="preserve">la fuente existe y es pública pero no hay extractor compatible en OpenDataManager. El agente genera una propuesta de código del fetcher siguiendo el patrón BaseFetcher de OpenDataManager, lista para revisión y registro por un técnico. Incluye: clase con métodos fetch(), parse() y normalize(); definición de FetcherParams requeridos; instrucciones de registro en BD.</w:t>
      </w:r>
    </w:p>
    <w:p>
      <w:pPr>
        <w:numPr>
          <w:ilvl w:val="0"/>
          <w:numId w:val="1"/>
        </w:numPr>
        <w:spacing w:before="60" w:after="80"/>
      </w:pPr>
      <w:r>
        <w:rPr>
          <w:rFonts w:ascii="Arial" w:hAnsi="Arial"/>
          <w:sz w:val="22"/>
          <w:szCs w:val="22"/>
          <w:b/>
        </w:rPr>
        <w:t xml:space="preserve">No accesible automáticamente: </w:t>
      </w:r>
      <w:r>
        <w:rPr>
          <w:rFonts w:ascii="Arial" w:hAnsi="Arial"/>
          <w:sz w:val="22"/>
          <w:szCs w:val="22"/>
        </w:rPr>
        <w:t xml:space="preserve">fuentes relevantes sin acceso programable (registros no digitalizados, datos bajo petición formal, acceso privado). Se listan como información para el analista pero no se integran en el pipeline automático.</w:t>
      </w:r>
    </w:p>
    <w:p>
      <w:pPr>
        <w:pStyle w:val="Heading2"/>
        <w:spacing w:before="300" w:after="160"/>
      </w:pPr>
      <w:r>
        <w:rPr>
          <w:rFonts w:ascii="Arial" w:hAnsi="Arial"/>
          <w:b/>
          <w:sz w:val="28"/>
          <w:szCs w:val="28"/>
          <w:color w:val="2E75B6"/>
        </w:rPr>
        <w:t xml:space="preserve">20.3 Lo que el agente nunca decide solo</w:t>
      </w:r>
    </w:p>
    <w:p>
      <w:pPr>
        <w:numPr>
          <w:ilvl w:val="0"/>
          <w:numId w:val="1"/>
        </w:numPr>
        <w:spacing w:before="60" w:after="60"/>
      </w:pPr>
      <w:r>
        <w:rPr>
          <w:rFonts w:ascii="Arial" w:hAnsi="Arial"/>
          <w:sz w:val="22"/>
          <w:szCs w:val="22"/>
        </w:rPr>
        <w:t xml:space="preserve">Qué fuentes se activan. El analista confirma cada una explícitamente antes de su uso.</w:t>
      </w:r>
    </w:p>
    <w:p>
      <w:pPr>
        <w:numPr>
          <w:ilvl w:val="0"/>
          <w:numId w:val="1"/>
        </w:numPr>
        <w:spacing w:before="60" w:after="60"/>
      </w:pPr>
      <w:r>
        <w:rPr>
          <w:rFonts w:ascii="Arial" w:hAnsi="Arial"/>
          <w:sz w:val="22"/>
          <w:szCs w:val="22"/>
        </w:rPr>
        <w:t xml:space="preserve">Registrar o desplegar un nuevo fetcher en OpenDataManager. El agente genera el código y las instrucciones; un técnico revisa, valida y registra.</w:t>
      </w:r>
    </w:p>
    <w:p>
      <w:pPr>
        <w:numPr>
          <w:ilvl w:val="0"/>
          <w:numId w:val="1"/>
        </w:numPr>
        <w:spacing w:before="60" w:after="80"/>
      </w:pPr>
      <w:r>
        <w:rPr>
          <w:rFonts w:ascii="Arial" w:hAnsi="Arial"/>
          <w:sz w:val="22"/>
          <w:szCs w:val="22"/>
        </w:rPr>
        <w:t xml:space="preserve">La frecuencia de actualización de cada fuente. Es configuración de OpenDataManager, fuera del alcance de GrantsSurveyor.</w:t>
      </w:r>
    </w:p>
    <w:p>
      <w:pPr>
        <w:pStyle w:val="Heading2"/>
        <w:spacing w:before="300" w:after="160"/>
      </w:pPr>
      <w:r>
        <w:rPr>
          <w:rFonts w:ascii="Arial" w:hAnsi="Arial"/>
          <w:b/>
          <w:sz w:val="28"/>
          <w:szCs w:val="28"/>
          <w:color w:val="2E75B6"/>
        </w:rPr>
        <w:t xml:space="preserve">20.4 Estado de implementación</w:t>
      </w:r>
    </w:p>
    <w:p>
      <w:pPr>
        <w:spacing w:before="160" w:after="160"/>
        <w:ind w:left="400" w:right="400"/>
      </w:pPr>
      <w:r>
        <w:rPr>
          <w:rFonts w:ascii="Arial" w:hAnsi="Arial"/>
          <w:sz w:val="20"/>
          <w:szCs w:val="20"/>
          <w:color w:val="C55A11"/>
          <w:i/>
        </w:rPr>
        <w:t xml:space="preserve">Pendiente de desarrollo. Requiere: (1) prompt de rastreo de fuentes sobre la query_description de la investigación; (2) integración con API GraphQL de OpenDataManager para listar Resources y tipos de Fetcher disponibles; (3) prompt de generación de código BaseFetcher para fuentes sin extractor; (4) componente de onboarding en el Workbench que presenta el inventario al analista y recoge sus decisiones.</w:t>
      </w:r>
    </w:p>
    <w:p>
      <w:pPr>
        <w:pStyle w:val="Heading1"/>
        <w:spacing w:before="400" w:after="200"/>
      </w:pPr>
      <w:r>
        <w:rPr>
          <w:rFonts w:ascii="Arial" w:hAnsi="Arial"/>
          <w:b/>
          <w:sz w:val="36"/>
          <w:szCs w:val="36"/>
          <w:color w:val="1F4E79"/>
        </w:rPr>
        <w:t xml:space="preserve">21. Metadominio de GrantsSurveyor</w:t>
      </w:r>
    </w:p>
    <w:p>
      <w:pPr>
        <w:spacing w:before="80" w:after="100"/>
      </w:pPr>
      <w:r>
        <w:rPr>
          <w:rFonts w:ascii="Arial" w:hAnsi="Arial"/>
          <w:sz w:val="22"/>
          <w:szCs w:val="22"/>
        </w:rPr>
        <w:t xml:space="preserve">GrantsSurveyor no está acoplado a ningún dominio concreto. No sabe de subvenciones, inmuebles ni contratos públicos. Opera sobre un metadominio genérico cuyos tipos son configurables por investigación. La semántica específica de cada caso de uso vive exclusivamente en el WatchProfile, no en el código.</w:t>
      </w:r>
    </w:p>
    <w:p>
      <w:pPr>
        <w:spacing w:before="80" w:after="100"/>
      </w:pPr>
      <w:r>
        <w:rPr>
          <w:rFonts w:ascii="Arial" w:hAnsi="Arial"/>
          <w:sz w:val="22"/>
          <w:szCs w:val="22"/>
        </w:rPr>
        <w:t xml:space="preserve">Este diseño es coherente con OpenDataManager, que tampoco conoce el dominio de los datos que gestiona. Ambos sistemas son genéricos en su capa de infraestructura y específicos en su configuración.</w:t>
      </w:r>
    </w:p>
    <w:p>
      <w:pPr>
        <w:pStyle w:val="Heading2"/>
        <w:spacing w:before="300" w:after="160"/>
      </w:pPr>
      <w:r>
        <w:rPr>
          <w:rFonts w:ascii="Arial" w:hAnsi="Arial"/>
          <w:b/>
          <w:sz w:val="28"/>
          <w:szCs w:val="28"/>
          <w:color w:val="2E75B6"/>
        </w:rPr>
        <w:t xml:space="preserve">21.1 Tipos de nodo del grafo</w:t>
      </w:r>
    </w:p>
    <w:p>
      <w:pPr>
        <w:spacing w:before="80" w:after="80"/>
      </w:pPr>
      <w:r>
        <w:rPr>
          <w:rFonts w:ascii="Arial" w:hAnsi="Arial"/>
          <w:sz w:val="22"/>
          <w:szCs w:val="22"/>
        </w:rPr>
        <w:t xml:space="preserve">El grafo de conocimiento de GrantsSurveyor opera sobre cinco tipos de nodo genéricos:</w:t>
      </w:r>
    </w:p>
    <w:p>
      <w:pPr>
        <w:numPr>
          <w:ilvl w:val="0"/>
          <w:numId w:val="1"/>
        </w:numPr>
        <w:spacing w:before="80" w:after="60"/>
      </w:pPr>
      <w:r>
        <w:rPr>
          <w:rFonts w:ascii="Arial" w:hAnsi="Arial"/>
          <w:sz w:val="22"/>
          <w:szCs w:val="22"/>
          <w:b/>
        </w:rPr>
        <w:t xml:space="preserve">Actor </w:t>
      </w:r>
      <w:r>
        <w:rPr>
          <w:rFonts w:ascii="Arial" w:hAnsi="Arial"/>
          <w:sz w:val="22"/>
          <w:szCs w:val="22"/>
        </w:rPr>
        <w:t xml:space="preserve">— cualquier entidad que participa en procesos o posee activos: organización, persona física, administración pública, empresa, entidad religiosa, fondo de inversión. Identificado por un conjunto de identificadores (NIF, nombre, ID registral) que pueden provenir de distintas fuentes.</w:t>
      </w:r>
    </w:p>
    <w:p>
      <w:pPr>
        <w:numPr>
          <w:ilvl w:val="1"/>
          <w:numId w:val="1"/>
        </w:numPr>
        <w:spacing w:before="40" w:after="40"/>
      </w:pPr>
      <w:r>
        <w:rPr>
          <w:rFonts w:ascii="Arial" w:hAnsi="Arial"/>
          <w:sz w:val="20"/>
          <w:szCs w:val="20"/>
          <w:i/>
          <w:color w:val="595959"/>
        </w:rPr>
        <w:t xml:space="preserve">Ejemplos: Hermandad del Rocío, Ministerio de Hacienda, Juan García Martínez, Fondo Inmobiliario Alfa S.L.</w:t>
      </w:r>
    </w:p>
    <w:p>
      <w:pPr>
        <w:numPr>
          <w:ilvl w:val="0"/>
          <w:numId w:val="1"/>
        </w:numPr>
        <w:spacing w:before="80" w:after="60"/>
      </w:pPr>
      <w:r>
        <w:rPr>
          <w:rFonts w:ascii="Arial" w:hAnsi="Arial"/>
          <w:sz w:val="22"/>
          <w:szCs w:val="22"/>
          <w:b/>
        </w:rPr>
        <w:t xml:space="preserve">Proceso </w:t>
      </w:r>
      <w:r>
        <w:rPr>
          <w:rFonts w:ascii="Arial" w:hAnsi="Arial"/>
          <w:sz w:val="22"/>
          <w:szCs w:val="22"/>
        </w:rPr>
        <w:t xml:space="preserve">— cualquier flujo o transacción con actores participantes, valor económico opcional, base legal y trazabilidad documental. Tiene origen, destino y fecha.</w:t>
      </w:r>
    </w:p>
    <w:p>
      <w:pPr>
        <w:numPr>
          <w:ilvl w:val="1"/>
          <w:numId w:val="1"/>
        </w:numPr>
        <w:spacing w:before="40" w:after="40"/>
      </w:pPr>
      <w:r>
        <w:rPr>
          <w:rFonts w:ascii="Arial" w:hAnsi="Arial"/>
          <w:sz w:val="20"/>
          <w:szCs w:val="20"/>
          <w:i/>
          <w:color w:val="595959"/>
        </w:rPr>
        <w:t xml:space="preserve">Ejemplos: concesión de subvención, compraventa de inmueble, adjudicación de contrato público, nombramiento en junta directiva, inscripción registral.</w:t>
      </w:r>
    </w:p>
    <w:p>
      <w:pPr>
        <w:numPr>
          <w:ilvl w:val="0"/>
          <w:numId w:val="1"/>
        </w:numPr>
        <w:spacing w:before="80" w:after="60"/>
      </w:pPr>
      <w:r>
        <w:rPr>
          <w:rFonts w:ascii="Arial" w:hAnsi="Arial"/>
          <w:sz w:val="22"/>
          <w:szCs w:val="22"/>
          <w:b/>
        </w:rPr>
        <w:t xml:space="preserve">Activo </w:t>
      </w:r>
      <w:r>
        <w:rPr>
          <w:rFonts w:ascii="Arial" w:hAnsi="Arial"/>
          <w:sz w:val="22"/>
          <w:szCs w:val="22"/>
        </w:rPr>
        <w:t xml:space="preserve">— cualquier bien, derecho o recurso sobre el que actúan los actores. Tiene identificadores propios según su tipo.</w:t>
      </w:r>
    </w:p>
    <w:p>
      <w:pPr>
        <w:numPr>
          <w:ilvl w:val="1"/>
          <w:numId w:val="1"/>
        </w:numPr>
        <w:spacing w:before="40" w:after="40"/>
      </w:pPr>
      <w:r>
        <w:rPr>
          <w:rFonts w:ascii="Arial" w:hAnsi="Arial"/>
          <w:sz w:val="20"/>
          <w:szCs w:val="20"/>
          <w:i/>
          <w:color w:val="595959"/>
        </w:rPr>
        <w:t xml:space="preserve">Ejemplos: inmueble (referencia catastral), contrato (número de expediente), licencia, patente, cargo institucional.</w:t>
      </w:r>
    </w:p>
    <w:p>
      <w:pPr>
        <w:numPr>
          <w:ilvl w:val="0"/>
          <w:numId w:val="1"/>
        </w:numPr>
        <w:spacing w:before="80" w:after="60"/>
      </w:pPr>
      <w:r>
        <w:rPr>
          <w:rFonts w:ascii="Arial" w:hAnsi="Arial"/>
          <w:sz w:val="22"/>
          <w:szCs w:val="22"/>
          <w:b/>
        </w:rPr>
        <w:t xml:space="preserve">Fuente </w:t>
      </w:r>
      <w:r>
        <w:rPr>
          <w:rFonts w:ascii="Arial" w:hAnsi="Arial"/>
          <w:sz w:val="22"/>
          <w:szCs w:val="22"/>
        </w:rPr>
        <w:t xml:space="preserve">— documento o dataset del que procede una observación. Cada evidencia del grafo apunta a una Fuente. Puede ser un dataset de OpenDataManager (con dataset_id y versión) o un documento externo (URL, referencia BOE, etc.).</w:t>
      </w:r>
    </w:p>
    <w:p>
      <w:pPr>
        <w:numPr>
          <w:ilvl w:val="0"/>
          <w:numId w:val="1"/>
        </w:numPr>
        <w:spacing w:before="80" w:after="80"/>
      </w:pPr>
      <w:r>
        <w:rPr>
          <w:rFonts w:ascii="Arial" w:hAnsi="Arial"/>
          <w:sz w:val="22"/>
          <w:szCs w:val="22"/>
          <w:b/>
        </w:rPr>
        <w:t xml:space="preserve">Hallazgo </w:t>
      </w:r>
      <w:r>
        <w:rPr>
          <w:rFonts w:ascii="Arial" w:hAnsi="Arial"/>
          <w:sz w:val="22"/>
          <w:szCs w:val="22"/>
        </w:rPr>
        <w:t xml:space="preserve">— agregación de señales sobre un nodo o conjunto de nodos que supera el umbral de relevancia de la pregunta de vigilancia. Es el objeto que revisa el analista en el Workbench.</w:t>
      </w:r>
    </w:p>
    <w:p>
      <w:pPr>
        <w:pStyle w:val="Heading2"/>
        <w:spacing w:before="300" w:after="160"/>
      </w:pPr>
      <w:r>
        <w:rPr>
          <w:rFonts w:ascii="Arial" w:hAnsi="Arial"/>
          <w:b/>
          <w:sz w:val="28"/>
          <w:szCs w:val="28"/>
          <w:color w:val="2E75B6"/>
        </w:rPr>
        <w:t xml:space="preserve">21.2 Tipos de relación del grafo</w:t>
      </w:r>
    </w:p>
    <w:p>
      <w:pPr>
        <w:spacing w:before="80" w:after="80"/>
      </w:pPr>
      <w:r>
        <w:rPr>
          <w:rFonts w:ascii="Arial" w:hAnsi="Arial"/>
          <w:sz w:val="22"/>
          <w:szCs w:val="22"/>
        </w:rPr>
        <w:t xml:space="preserve">Las relaciones son también genéricas y configurables. Las mínimas del sistema son:</w:t>
      </w:r>
    </w:p>
    <w:p>
      <w:pPr>
        <w:numPr>
          <w:ilvl w:val="0"/>
          <w:numId w:val="1"/>
        </w:numPr>
        <w:spacing w:before="60" w:after="40"/>
      </w:pPr>
      <w:r>
        <w:rPr>
          <w:rFonts w:ascii="Arial" w:hAnsi="Arial"/>
          <w:sz w:val="22"/>
          <w:szCs w:val="22"/>
          <w:b/>
        </w:rPr>
        <w:t xml:space="preserve">PARTICIPA_EN </w:t>
      </w:r>
      <w:r>
        <w:rPr>
          <w:rFonts w:ascii="Arial" w:hAnsi="Arial"/>
          <w:sz w:val="22"/>
          <w:szCs w:val="22"/>
        </w:rPr>
        <w:t xml:space="preserve">— Actor participa en Proceso con un rol (beneficiario, concedente, adjudicatario, vendedor, comprador...). El rol es un atributo de la relación, no del tipo.</w:t>
      </w:r>
    </w:p>
    <w:p>
      <w:pPr>
        <w:numPr>
          <w:ilvl w:val="0"/>
          <w:numId w:val="1"/>
        </w:numPr>
        <w:spacing w:before="60" w:after="40"/>
      </w:pPr>
      <w:r>
        <w:rPr>
          <w:rFonts w:ascii="Arial" w:hAnsi="Arial"/>
          <w:sz w:val="22"/>
          <w:szCs w:val="22"/>
          <w:b/>
        </w:rPr>
        <w:t xml:space="preserve">CONTROLA </w:t>
      </w:r>
      <w:r>
        <w:rPr>
          <w:rFonts w:ascii="Arial" w:hAnsi="Arial"/>
          <w:sz w:val="22"/>
          <w:szCs w:val="22"/>
        </w:rPr>
        <w:t xml:space="preserve">— Actor ejerce control sobre otro Actor o Activo (dirección, propiedad, tutela). Con porcentaje de control y fechas cuando estén disponibles.</w:t>
      </w:r>
    </w:p>
    <w:p>
      <w:pPr>
        <w:numPr>
          <w:ilvl w:val="0"/>
          <w:numId w:val="1"/>
        </w:numPr>
        <w:spacing w:before="60" w:after="40"/>
      </w:pPr>
      <w:r>
        <w:rPr>
          <w:rFonts w:ascii="Arial" w:hAnsi="Arial"/>
          <w:sz w:val="22"/>
          <w:szCs w:val="22"/>
          <w:b/>
        </w:rPr>
        <w:t xml:space="preserve">TRANSFIERE </w:t>
      </w:r>
      <w:r>
        <w:rPr>
          <w:rFonts w:ascii="Arial" w:hAnsi="Arial"/>
          <w:sz w:val="22"/>
          <w:szCs w:val="22"/>
        </w:rPr>
        <w:t xml:space="preserve">— Proceso transfiere un Activo o valor económico de un Actor a otro.</w:t>
      </w:r>
    </w:p>
    <w:p>
      <w:pPr>
        <w:numPr>
          <w:ilvl w:val="0"/>
          <w:numId w:val="1"/>
        </w:numPr>
        <w:spacing w:before="60" w:after="40"/>
      </w:pPr>
      <w:r>
        <w:rPr>
          <w:rFonts w:ascii="Arial" w:hAnsi="Arial"/>
          <w:sz w:val="22"/>
          <w:szCs w:val="22"/>
          <w:b/>
        </w:rPr>
        <w:t xml:space="preserve">ES_MISMO_QUE </w:t>
      </w:r>
      <w:r>
        <w:rPr>
          <w:rFonts w:ascii="Arial" w:hAnsi="Arial"/>
          <w:sz w:val="22"/>
          <w:szCs w:val="22"/>
        </w:rPr>
        <w:t xml:space="preserve">— resolución de identidad entre nodos de distintas fuentes. Lleva score de confianza y requiere confirmación humana para ser usada como evidencia publicable.</w:t>
      </w:r>
    </w:p>
    <w:p>
      <w:pPr>
        <w:numPr>
          <w:ilvl w:val="0"/>
          <w:numId w:val="1"/>
        </w:numPr>
        <w:spacing w:before="60" w:after="80"/>
      </w:pPr>
      <w:r>
        <w:rPr>
          <w:rFonts w:ascii="Arial" w:hAnsi="Arial"/>
          <w:sz w:val="22"/>
          <w:szCs w:val="22"/>
          <w:b/>
        </w:rPr>
        <w:t xml:space="preserve">OBSERVADO_EN </w:t>
      </w:r>
      <w:r>
        <w:rPr>
          <w:rFonts w:ascii="Arial" w:hAnsi="Arial"/>
          <w:sz w:val="22"/>
          <w:szCs w:val="22"/>
        </w:rPr>
        <w:t xml:space="preserve">— cualquier nodo (Actor, Proceso, Activo) fue observado en una Fuente. Garantiza la trazabilidad de toda afirmación del grafo hasta su origen documental.</w:t>
      </w:r>
    </w:p>
    <w:p>
      <w:pPr>
        <w:pStyle w:val="Heading2"/>
        <w:spacing w:before="300" w:after="160"/>
      </w:pPr>
      <w:r>
        <w:rPr>
          <w:rFonts w:ascii="Arial" w:hAnsi="Arial"/>
          <w:b/>
          <w:sz w:val="28"/>
          <w:szCs w:val="28"/>
          <w:color w:val="2E75B6"/>
        </w:rPr>
        <w:t xml:space="preserve">21.3 Atributos dinámicos</w:t>
      </w:r>
    </w:p>
    <w:p>
      <w:pPr>
        <w:spacing w:before="80" w:after="100"/>
      </w:pPr>
      <w:r>
        <w:rPr>
          <w:rFonts w:ascii="Arial" w:hAnsi="Arial"/>
          <w:sz w:val="22"/>
          <w:szCs w:val="22"/>
        </w:rPr>
        <w:t xml:space="preserve">Ningún nodo tiene campos fijos de dominio. Un Actor no tiene campo nif ni campo nombre_entidad_religiosa. Tiene un conjunto de atributos dinámicos con clave, valor, fuente y confianza. Esto permite que el mismo Actor acumule atributos de múltiples fuentes sin que el schema de la base de datos cambie:</w:t>
      </w:r>
    </w:p>
    <w:p>
      <w:pPr>
        <w:spacing w:before="80" w:after="80"/>
        <w:ind w:left="400" w:right="400"/>
      </w:pPr>
      <w:r>
        <w:rPr>
          <w:rFonts w:ascii="Courier New" w:hAnsi="Courier New"/>
          <w:sz w:val="19"/>
          <w:szCs w:val="19"/>
          <w:color w:val="1F4E79"/>
        </w:rPr>
        <w:t xml:space="preserve">Actor id=X</w:t>
      </w:r>
    </w:p>
    <w:p>
      <w:pPr>
        <w:spacing w:before="0" w:after="0"/>
        <w:ind w:left="400" w:right="400"/>
      </w:pPr>
      <w:r>
        <w:rPr>
          <w:rFonts w:ascii="Courier New" w:hAnsi="Courier New"/>
          <w:sz w:val="19"/>
          <w:szCs w:val="19"/>
          <w:color w:val="1F4E79"/>
        </w:rPr>
        <w:t xml:space="preserve">  atributo: {clave:"nif",         valor:"R1234567A", fuente:"bdns_concesiones", confianza:1.0}</w:t>
      </w:r>
    </w:p>
    <w:p>
      <w:pPr>
        <w:spacing w:before="0" w:after="0"/>
        <w:ind w:left="400" w:right="400"/>
      </w:pPr>
      <w:r>
        <w:rPr>
          <w:rFonts w:ascii="Courier New" w:hAnsi="Courier New"/>
          <w:sz w:val="19"/>
          <w:szCs w:val="19"/>
          <w:color w:val="1F4E79"/>
        </w:rPr>
        <w:t xml:space="preserve">  atributo: {clave:"nombre",       valor:"Hermandad del Rocío", fuente:"rer_entidades", confianza:0.97}</w:t>
      </w:r>
    </w:p>
    <w:p>
      <w:pPr>
        <w:spacing w:before="0" w:after="80"/>
        <w:ind w:left="400" w:right="400"/>
      </w:pPr>
      <w:r>
        <w:rPr>
          <w:rFonts w:ascii="Courier New" w:hAnsi="Courier New"/>
          <w:sz w:val="19"/>
          <w:szCs w:val="19"/>
          <w:color w:val="1F4E79"/>
        </w:rPr>
        <w:t xml:space="preserve">  atributo: {clave:"tipo_entidad", valor:"hermandad",    fuente:"llm_inference",  confianza:0.85}</w:t>
      </w:r>
    </w:p>
    <w:p>
      <w:pPr>
        <w:pStyle w:val="Heading2"/>
        <w:spacing w:before="300" w:after="160"/>
      </w:pPr>
      <w:r>
        <w:rPr>
          <w:rFonts w:ascii="Arial" w:hAnsi="Arial"/>
          <w:b/>
          <w:sz w:val="28"/>
          <w:szCs w:val="28"/>
          <w:color w:val="2E75B6"/>
        </w:rPr>
        <w:t xml:space="preserve">21.4 El WatchProfile opera sobre el metadominio</w:t>
      </w:r>
    </w:p>
    <w:p>
      <w:pPr>
        <w:spacing w:before="80" w:after="100"/>
      </w:pPr>
      <w:r>
        <w:rPr>
          <w:rFonts w:ascii="Arial" w:hAnsi="Arial"/>
          <w:sz w:val="22"/>
          <w:szCs w:val="22"/>
        </w:rPr>
        <w:t xml:space="preserve">Las reglas del WatchProfile referencian tipos y atributos genéricos, no campos concretos de dominio. El campo de una regla no es nif_beneficiario — es actor.atributo[clave="nif"]. Esto hace que el motor de reglas sea completamente independiente del dominio de cada investigación.</w:t>
      </w:r>
    </w:p>
    <w:p>
      <w:pPr>
        <w:spacing w:before="80" w:after="100"/>
      </w:pPr>
      <w:r>
        <w:rPr>
          <w:rFonts w:ascii="Arial" w:hAnsi="Arial"/>
          <w:sz w:val="22"/>
          <w:szCs w:val="22"/>
        </w:rPr>
        <w:t xml:space="preserve">La misma regla “el identificador principal empieza por R” funciona tanto para detectar entidades religiosas en una investigación de subvenciones como para detectar al mismo tipo de actor vendiendo un inmueble en una investigación inmobiliaria.</w:t>
      </w:r>
    </w:p>
    <w:p>
      <w:pPr>
        <w:pStyle w:val="Heading2"/>
        <w:spacing w:before="300" w:after="160"/>
      </w:pPr>
      <w:r>
        <w:rPr>
          <w:rFonts w:ascii="Arial" w:hAnsi="Arial"/>
          <w:b/>
          <w:sz w:val="28"/>
          <w:szCs w:val="28"/>
          <w:color w:val="2E75B6"/>
        </w:rPr>
        <w:t xml:space="preserve">21.5 Casos de uso del metadominio</w:t>
      </w:r>
    </w:p>
    <w:p>
      <w:pPr>
        <w:spacing w:before="80" w:after="80"/>
      </w:pPr>
      <w:r>
        <w:rPr>
          <w:rFonts w:ascii="Arial" w:hAnsi="Arial"/>
          <w:sz w:val="22"/>
          <w:szCs w:val="22"/>
        </w:rPr>
        <w:t xml:space="preserve">El mismo sistema, sin cambios de código, soporta investigaciones de naturaleza completamente diferente:</w:t>
      </w:r>
    </w:p>
    <w:p>
      <w:pPr>
        <w:numPr>
          <w:ilvl w:val="0"/>
          <w:numId w:val="1"/>
        </w:numPr>
        <w:spacing w:before="60" w:after="40"/>
      </w:pPr>
      <w:r>
        <w:rPr>
          <w:rFonts w:ascii="Arial" w:hAnsi="Arial"/>
          <w:sz w:val="22"/>
          <w:szCs w:val="22"/>
          <w:b/>
        </w:rPr>
        <w:t xml:space="preserve">Subvenciones a entidades religiosas: </w:t>
      </w:r>
      <w:r>
        <w:rPr>
          <w:rFonts w:ascii="Arial" w:hAnsi="Arial"/>
          <w:sz w:val="22"/>
          <w:szCs w:val="22"/>
        </w:rPr>
        <w:t xml:space="preserve">Actor (entidad religiosa) → PARTICIPA_EN con rol=beneficiario → Proceso (concesión BDNS).</w:t>
      </w:r>
    </w:p>
    <w:p>
      <w:pPr>
        <w:numPr>
          <w:ilvl w:val="0"/>
          <w:numId w:val="1"/>
        </w:numPr>
        <w:spacing w:before="60" w:after="40"/>
      </w:pPr>
      <w:r>
        <w:rPr>
          <w:rFonts w:ascii="Arial" w:hAnsi="Arial"/>
          <w:sz w:val="22"/>
          <w:szCs w:val="22"/>
          <w:b/>
        </w:rPr>
        <w:t xml:space="preserve">Venta de inmuebles de origen religioso: </w:t>
      </w:r>
      <w:r>
        <w:rPr>
          <w:rFonts w:ascii="Arial" w:hAnsi="Arial"/>
          <w:sz w:val="22"/>
          <w:szCs w:val="22"/>
        </w:rPr>
        <w:t xml:space="preserve">Actor (entidad religiosa) → CONTROLA → Activo (inmueble, ref. catastral) → TRANSFIERE en → Proceso (compraventa). Cruce con BDNS para detectar si el inmueble recibió subvenciones de rehabilitación antes de la venta.</w:t>
      </w:r>
    </w:p>
    <w:p>
      <w:pPr>
        <w:numPr>
          <w:ilvl w:val="0"/>
          <w:numId w:val="1"/>
        </w:numPr>
        <w:spacing w:before="60" w:after="40"/>
      </w:pPr>
      <w:r>
        <w:rPr>
          <w:rFonts w:ascii="Arial" w:hAnsi="Arial"/>
          <w:sz w:val="22"/>
          <w:szCs w:val="22"/>
          <w:b/>
        </w:rPr>
        <w:t xml:space="preserve">Contratos públicos a empresas vinculadas: </w:t>
      </w:r>
      <w:r>
        <w:rPr>
          <w:rFonts w:ascii="Arial" w:hAnsi="Arial"/>
          <w:sz w:val="22"/>
          <w:szCs w:val="22"/>
        </w:rPr>
        <w:t xml:space="preserve">Actor (cargo público) → CONTROLA → Actor (empresa) → PARTICIPA_EN con rol=adjudicatario → Proceso (contrato público).</w:t>
      </w:r>
    </w:p>
    <w:p>
      <w:pPr>
        <w:numPr>
          <w:ilvl w:val="0"/>
          <w:numId w:val="1"/>
        </w:numPr>
        <w:spacing w:before="60" w:after="80"/>
      </w:pPr>
      <w:r>
        <w:rPr>
          <w:rFonts w:ascii="Arial" w:hAnsi="Arial"/>
          <w:sz w:val="22"/>
          <w:szCs w:val="22"/>
          <w:b/>
        </w:rPr>
        <w:t xml:space="preserve">Subvenciones a asociaciones taurinas: </w:t>
      </w:r>
      <w:r>
        <w:rPr>
          <w:rFonts w:ascii="Arial" w:hAnsi="Arial"/>
          <w:sz w:val="22"/>
          <w:szCs w:val="22"/>
        </w:rPr>
        <w:t xml:space="preserve">exactamente el mismo patrón que el caso religioso, con un WatchProfile diferente.</w:t>
      </w:r>
    </w:p>
    <w:p>
      <w:pPr>
        <w:pStyle w:val="Heading2"/>
        <w:spacing w:before="300" w:after="160"/>
      </w:pPr>
      <w:r>
        <w:rPr>
          <w:rFonts w:ascii="Arial" w:hAnsi="Arial"/>
          <w:b/>
          <w:sz w:val="28"/>
          <w:szCs w:val="28"/>
          <w:color w:val="2E75B6"/>
        </w:rPr>
        <w:t xml:space="preserve">21.6 Implicación para los modelos de datos</w:t>
      </w:r>
    </w:p>
    <w:p>
      <w:pPr>
        <w:spacing w:before="80" w:after="100"/>
      </w:pPr>
      <w:r>
        <w:rPr>
          <w:rFonts w:ascii="Arial" w:hAnsi="Arial"/>
          <w:sz w:val="22"/>
          <w:szCs w:val="22"/>
        </w:rPr>
        <w:t xml:space="preserve">Los modelos Pydantic de la versión actual (Entity, Person, MemberOfEdge) son instancias concretas del metadominio, no el metadominio en sí. Deben reescribirse como:</w:t>
      </w:r>
    </w:p>
    <w:p>
      <w:pPr>
        <w:numPr>
          <w:ilvl w:val="0"/>
          <w:numId w:val="1"/>
        </w:numPr>
        <w:spacing w:before="60" w:after="40"/>
      </w:pPr>
      <w:r>
        <w:rPr>
          <w:rFonts w:ascii="Arial" w:hAnsi="Arial"/>
          <w:sz w:val="22"/>
          <w:szCs w:val="22"/>
          <w:b/>
        </w:rPr>
        <w:t xml:space="preserve">Actor </w:t>
      </w:r>
      <w:r>
        <w:rPr>
          <w:rFonts w:ascii="Arial" w:hAnsi="Arial"/>
          <w:sz w:val="22"/>
          <w:szCs w:val="22"/>
        </w:rPr>
        <w:t xml:space="preserve">reemplaza a Entity y Person. El tipo de actor (organización, persona física, administración) es un atributo dinámico, no un campo fijo.</w:t>
      </w:r>
    </w:p>
    <w:p>
      <w:pPr>
        <w:numPr>
          <w:ilvl w:val="0"/>
          <w:numId w:val="1"/>
        </w:numPr>
        <w:spacing w:before="60" w:after="40"/>
      </w:pPr>
      <w:r>
        <w:rPr>
          <w:rFonts w:ascii="Arial" w:hAnsi="Arial"/>
          <w:sz w:val="22"/>
          <w:szCs w:val="22"/>
          <w:b/>
        </w:rPr>
        <w:t xml:space="preserve">Proceso </w:t>
      </w:r>
      <w:r>
        <w:rPr>
          <w:rFonts w:ascii="Arial" w:hAnsi="Arial"/>
          <w:sz w:val="22"/>
          <w:szCs w:val="22"/>
        </w:rPr>
        <w:t xml:space="preserve">reemplaza a Grant y Concesion. El tipo de proceso (concesión, contrato, compraventa) es un atributo dinámico.</w:t>
      </w:r>
    </w:p>
    <w:p>
      <w:pPr>
        <w:numPr>
          <w:ilvl w:val="0"/>
          <w:numId w:val="1"/>
        </w:numPr>
        <w:spacing w:before="60" w:after="40"/>
      </w:pPr>
      <w:r>
        <w:rPr>
          <w:rFonts w:ascii="Arial" w:hAnsi="Arial"/>
          <w:sz w:val="22"/>
          <w:szCs w:val="22"/>
          <w:b/>
        </w:rPr>
        <w:t xml:space="preserve">Relacion </w:t>
      </w:r>
      <w:r>
        <w:rPr>
          <w:rFonts w:ascii="Arial" w:hAnsi="Arial"/>
          <w:sz w:val="22"/>
          <w:szCs w:val="22"/>
        </w:rPr>
        <w:t xml:space="preserve">reemplaza a MemberOfEdge y SameAsEdge. El tipo de relación es un atributo de la arista.</w:t>
      </w:r>
    </w:p>
    <w:p>
      <w:pPr>
        <w:numPr>
          <w:ilvl w:val="0"/>
          <w:numId w:val="1"/>
        </w:numPr>
        <w:spacing w:before="60" w:after="80"/>
      </w:pPr>
      <w:r>
        <w:rPr>
          <w:rFonts w:ascii="Arial" w:hAnsi="Arial"/>
          <w:sz w:val="22"/>
          <w:szCs w:val="22"/>
          <w:b/>
        </w:rPr>
        <w:t xml:space="preserve">Activo </w:t>
      </w:r>
      <w:r>
        <w:rPr>
          <w:rFonts w:ascii="Arial" w:hAnsi="Arial"/>
          <w:sz w:val="22"/>
          <w:szCs w:val="22"/>
        </w:rPr>
        <w:t xml:space="preserve">es un tipo nuevo sin equivalente en la versión actual. Necesario para investigaciones sobre bienes, contratos o cualquier objeto no-actor.</w:t>
      </w:r>
    </w:p>
    <w:p>
      <w:pPr>
        <w:spacing w:before="160" w:after="160"/>
        <w:ind w:left="400" w:right="400"/>
      </w:pPr>
      <w:r>
        <w:rPr>
          <w:rFonts w:ascii="Arial" w:hAnsi="Arial"/>
          <w:sz w:val="20"/>
          <w:szCs w:val="20"/>
          <w:color w:val="C55A11"/>
          <w:i/>
        </w:rPr>
        <w:t xml:space="preserve">Pendiente: reescritura de models/ con el metadominio genérico. Los modelos actuales (Entity, Person, Grant, MemberOfEdge, SameAsEdge) quedan deprecados y deben migrarse a Actor, Proceso, Activo, Relacion con atributos dinámicos. El GraphStore, el motor de reglas y el evaluador deben actualizarse en consecuencia.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2026-03-14T07:23:01.828Z</dcterms:created>
  <dcterms:modified xsi:type="dcterms:W3CDTF">2026-03-14T07:23:01.830Z</dcterms:modified>
</cp:coreProperties>
</file>

<file path=docProps/custom.xml><?xml version="1.0" encoding="utf-8"?>
<Properties xmlns="http://schemas.openxmlformats.org/officeDocument/2006/custom-properties" xmlns:vt="http://schemas.openxmlformats.org/officeDocument/2006/docPropsVTypes"/>
</file>