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00"/>
        <w:jc w:val="center"/>
      </w:pPr>
      <w:r>
        <w:rPr>
          <w:rFonts w:ascii="Arial" w:cs="Arial" w:eastAsia="Arial" w:hAnsi="Arial"/>
          <w:b/>
          <w:bCs/>
          <w:color w:val="006D6D"/>
          <w:sz w:val="56"/>
          <w:szCs w:val="56"/>
        </w:rPr>
        <w:t xml:space="preserve">OpenDataManager</w:t>
      </w:r>
    </w:p>
    <w:p>
      <w:pPr>
        <w:spacing w:before="0" w:after="100"/>
        <w:jc w:val="center"/>
      </w:pPr>
      <w:r>
        <w:rPr>
          <w:rFonts w:ascii="Arial" w:cs="Arial" w:eastAsia="Arial" w:hAnsi="Arial"/>
          <w:b/>
          <w:bCs/>
          <w:color w:val="1F4E79"/>
          <w:sz w:val="56"/>
          <w:szCs w:val="56"/>
        </w:rPr>
        <w:t xml:space="preserve">+ GrantsSurveyor</w:t>
      </w:r>
    </w:p>
    <w:p>
      <w:pPr>
        <w:pBdr>
          <w:bottom w:val="single" w:color="2E75B6" w:sz="8" w:space="8"/>
        </w:pBdr>
        <w:spacing w:before="0" w:after="200"/>
        <w:jc w:val="center"/>
      </w:pPr>
      <w:r>
        <w:rPr>
          <w:rFonts w:ascii="Arial" w:cs="Arial" w:eastAsia="Arial" w:hAnsi="Arial"/>
          <w:i/>
          <w:iCs/>
          <w:color w:val="2E75B6"/>
          <w:sz w:val="32"/>
          <w:szCs w:val="32"/>
        </w:rPr>
        <w:t xml:space="preserve">Plataforma de Investigación sobre Datos Públicos</w:t>
      </w:r>
    </w:p>
    <w:p>
      <w:pPr>
        <w:spacing w:before="80" w:after="80"/>
      </w:pPr>
      <w:r>
        <w:rPr>
          <w:rFonts w:ascii="Arial" w:cs="Arial" w:eastAsia="Arial" w:hAnsi="Arial"/>
          <w:sz w:val="22"/>
          <w:szCs w:val="22"/>
        </w:rPr>
        <w:t xml:space="preserve"/>
      </w:r>
    </w:p>
    <w:p>
      <w:pPr>
        <w:spacing w:before="200" w:after="80"/>
        <w:jc w:val="center"/>
      </w:pPr>
      <w:r>
        <w:rPr>
          <w:rFonts w:ascii="Arial" w:cs="Arial" w:eastAsia="Arial" w:hAnsi="Arial"/>
          <w:color w:val="595959"/>
          <w:sz w:val="26"/>
          <w:szCs w:val="26"/>
        </w:rPr>
        <w:t xml:space="preserve">Documento de Visión Conjunta</w:t>
      </w:r>
    </w:p>
    <w:p>
      <w:pPr>
        <w:spacing w:before="0" w:after="1600"/>
        <w:jc w:val="center"/>
      </w:pPr>
      <w:r>
        <w:rPr>
          <w:rFonts w:ascii="Arial" w:cs="Arial" w:eastAsia="Arial" w:hAnsi="Arial"/>
          <w:color w:val="595959"/>
          <w:sz w:val="22"/>
          <w:szCs w:val="22"/>
        </w:rPr>
        <w:t xml:space="preserve">Versión 1.0  ·  Marzo 2026</w:t>
      </w:r>
    </w:p>
    <w:p>
      <w:r>
        <w:br w:type="page"/>
      </w:r>
    </w:p>
    <w:p>
      <w:pPr>
        <w:pStyle w:val="Heading1"/>
        <w:spacing w:before="440" w:after="200"/>
      </w:pPr>
      <w:r>
        <w:rPr>
          <w:rFonts w:ascii="Arial" w:cs="Arial" w:eastAsia="Arial" w:hAnsi="Arial"/>
          <w:b/>
          <w:bCs/>
          <w:color w:val="1F4E79"/>
          <w:sz w:val="40"/>
          <w:szCs w:val="40"/>
        </w:rPr>
        <w:t xml:space="preserve">1. El problema que resuelven juntos</w:t>
      </w:r>
    </w:p>
    <w:p>
      <w:pPr>
        <w:spacing w:before="80" w:after="100"/>
      </w:pPr>
      <w:r>
        <w:rPr>
          <w:rFonts w:ascii="Arial" w:cs="Arial" w:eastAsia="Arial" w:hAnsi="Arial"/>
          <w:sz w:val="22"/>
          <w:szCs w:val="22"/>
        </w:rPr>
        <w:t xml:space="preserve">Los datos públicos en España existen. La información sobre subvenciones, contratos, registros de entidades, catastro, boletines oficiales y decenas de otras fuentes está disponible, en principio, para cualquier ciudadano. El problema no es la existencia de los datos — es la brecha entre su disponibilidad formal y su usabilidad real.</w:t>
      </w:r>
    </w:p>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Esa brecha tiene tres capas:</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Acceso fragmentado: </w:t>
      </w:r>
      <w:r>
        <w:rPr>
          <w:rFonts w:ascii="Arial" w:cs="Arial" w:eastAsia="Arial" w:hAnsi="Arial"/>
          <w:sz w:val="22"/>
          <w:szCs w:val="22"/>
        </w:rPr>
        <w:t xml:space="preserve">cada fuente tiene su propia API, su propio formato, su propio ciclo de actualización y su propia calidad de datos. Nadie ha construido una forma unificada de acceder a todo ello.</w:t>
      </w:r>
    </w:p>
    <w:p>
      <w:pPr>
        <w:pStyle w:val="ListParagraph"/>
        <w:numPr>
          <w:ilvl w:val="0"/>
          <w:numId w:val="2"/>
        </w:numPr>
        <w:spacing w:before="60" w:after="60"/>
      </w:pPr>
      <w:r>
        <w:rPr>
          <w:rFonts w:ascii="Arial" w:cs="Arial" w:eastAsia="Arial" w:hAnsi="Arial"/>
          <w:b/>
          <w:bCs/>
          <w:sz w:val="22"/>
          <w:szCs w:val="22"/>
        </w:rPr>
        <w:t xml:space="preserve">Falta de contexto: </w:t>
      </w:r>
      <w:r>
        <w:rPr>
          <w:rFonts w:ascii="Arial" w:cs="Arial" w:eastAsia="Arial" w:hAnsi="Arial"/>
          <w:sz w:val="22"/>
          <w:szCs w:val="22"/>
        </w:rPr>
        <w:t xml:space="preserve">un dato aislado no dice nada. Que una entidad reciba una subvención solo se vuelve significativo cuando se cruza con quién la dirige, qué otros datos públicos la relacionan con otras entidades, y qué patrón emerge del conjunto.</w:t>
      </w:r>
    </w:p>
    <w:p>
      <w:pPr>
        <w:pStyle w:val="ListParagraph"/>
        <w:numPr>
          <w:ilvl w:val="0"/>
          <w:numId w:val="2"/>
        </w:numPr>
        <w:spacing w:before="60" w:after="60"/>
      </w:pPr>
      <w:r>
        <w:rPr>
          <w:rFonts w:ascii="Arial" w:cs="Arial" w:eastAsia="Arial" w:hAnsi="Arial"/>
          <w:b/>
          <w:bCs/>
          <w:sz w:val="22"/>
          <w:szCs w:val="22"/>
        </w:rPr>
        <w:t xml:space="preserve">Ausencia de herramientas de investigación: </w:t>
      </w:r>
      <w:r>
        <w:rPr>
          <w:rFonts w:ascii="Arial" w:cs="Arial" w:eastAsia="Arial" w:hAnsi="Arial"/>
          <w:sz w:val="22"/>
          <w:szCs w:val="22"/>
        </w:rPr>
        <w:t xml:space="preserve">los periodistas, activistas y organizaciones de la sociedad civil que quieren fiscalizar el gasto público no tienen instrumentos que combinen la extracción automatizada de datos con la inteligencia necesaria para interpretarlos.</w:t>
      </w:r>
    </w:p>
    <w:p>
      <w:pPr>
        <w:spacing w:before="80" w:after="80"/>
      </w:pPr>
      <w:r>
        <w:rPr>
          <w:rFonts w:ascii="Arial" w:cs="Arial" w:eastAsia="Arial" w:hAnsi="Arial"/>
          <w:sz w:val="22"/>
          <w:szCs w:val="22"/>
        </w:rPr>
        <w:t xml:space="preserve"/>
      </w:r>
    </w:p>
    <w:p>
      <w:pPr>
        <w:spacing w:before="80" w:after="100"/>
      </w:pPr>
      <w:r>
        <w:rPr>
          <w:rFonts w:ascii="Arial" w:cs="Arial" w:eastAsia="Arial" w:hAnsi="Arial"/>
          <w:b/>
          <w:bCs/>
          <w:sz w:val="22"/>
          <w:szCs w:val="22"/>
        </w:rPr>
        <w:t xml:space="preserve">OpenDataManager</w:t>
      </w:r>
      <w:r>
        <w:rPr>
          <w:rFonts w:ascii="Arial" w:cs="Arial" w:eastAsia="Arial" w:hAnsi="Arial"/>
          <w:sz w:val="22"/>
          <w:szCs w:val="22"/>
        </w:rPr>
        <w:t xml:space="preserve"> resuelve la primera capa. </w:t>
      </w:r>
      <w:r>
        <w:rPr>
          <w:rFonts w:ascii="Arial" w:cs="Arial" w:eastAsia="Arial" w:hAnsi="Arial"/>
          <w:b/>
          <w:bCs/>
          <w:sz w:val="22"/>
          <w:szCs w:val="22"/>
        </w:rPr>
        <w:t xml:space="preserve">GrantsSurveyor</w:t>
      </w:r>
      <w:r>
        <w:rPr>
          <w:rFonts w:ascii="Arial" w:cs="Arial" w:eastAsia="Arial" w:hAnsi="Arial"/>
          <w:sz w:val="22"/>
          <w:szCs w:val="22"/>
        </w:rPr>
        <w:t xml:space="preserve"> resuelve la segunda y la tercera. Juntos forman una plataforma completa de investigación sobre datos públicos.</w:t>
      </w:r>
    </w:p>
    <w:p>
      <w:r>
        <w:br w:type="page"/>
      </w:r>
    </w:p>
    <w:p>
      <w:pPr>
        <w:pStyle w:val="Heading1"/>
        <w:spacing w:before="440" w:after="200"/>
      </w:pPr>
      <w:r>
        <w:rPr>
          <w:rFonts w:ascii="Arial" w:cs="Arial" w:eastAsia="Arial" w:hAnsi="Arial"/>
          <w:b/>
          <w:bCs/>
          <w:color w:val="1F4E79"/>
          <w:sz w:val="40"/>
          <w:szCs w:val="40"/>
        </w:rPr>
        <w:t xml:space="preserve">2. Dos sistemas, una plataforma</w:t>
      </w:r>
    </w:p>
    <w:p>
      <w:pPr>
        <w:spacing w:before="80" w:after="100"/>
      </w:pPr>
      <w:r>
        <w:rPr>
          <w:rFonts w:ascii="Arial" w:cs="Arial" w:eastAsia="Arial" w:hAnsi="Arial"/>
          <w:sz w:val="22"/>
          <w:szCs w:val="22"/>
        </w:rPr>
        <w:t xml:space="preserve">La plataforma se articula en dos capas con responsabilidades completamente separadas y una interfaz de integración bien definida.</w:t>
      </w:r>
    </w:p>
    <w:p>
      <w:pPr>
        <w:spacing w:before="80" w:after="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6D6D" w:val="clear"/>
            <w:tcMar>
              <w:top w:type="dxa" w:w="120"/>
              <w:left w:type="dxa" w:w="160"/>
              <w:bottom w:type="dxa" w:w="120"/>
              <w:right w:type="dxa" w:w="160"/>
            </w:tcMar>
          </w:tcPr>
          <w:p>
            <w:pPr>
              <w:spacing w:before="0" w:after="80"/>
              <w:jc w:val="center"/>
            </w:pPr>
            <w:r>
              <w:rPr>
                <w:rFonts w:ascii="Arial" w:cs="Arial" w:eastAsia="Arial" w:hAnsi="Arial"/>
                <w:b/>
                <w:bCs/>
                <w:color w:val="FFFFFF"/>
                <w:sz w:val="28"/>
                <w:szCs w:val="28"/>
              </w:rPr>
              <w:t xml:space="preserve">OpenDataManager</w:t>
            </w:r>
          </w:p>
          <w:p>
            <w:pPr>
              <w:spacing w:before="0" w:after="40"/>
              <w:jc w:val="center"/>
            </w:pPr>
            <w:r>
              <w:rPr>
                <w:rFonts w:ascii="Arial" w:cs="Arial" w:eastAsia="Arial" w:hAnsi="Arial"/>
                <w:i/>
                <w:iCs/>
                <w:color w:val="CCFFFF"/>
                <w:sz w:val="20"/>
                <w:szCs w:val="20"/>
              </w:rPr>
              <w:t xml:space="preserve">Capa de infraestructura de datos</w:t>
            </w:r>
          </w:p>
        </w:tc>
        <w:tc>
          <w:tcPr>
            <w:tcW w:type="dxa" w:w="4513"/>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spacing w:before="0" w:after="80"/>
              <w:jc w:val="center"/>
            </w:pPr>
            <w:r>
              <w:rPr>
                <w:rFonts w:ascii="Arial" w:cs="Arial" w:eastAsia="Arial" w:hAnsi="Arial"/>
                <w:b/>
                <w:bCs/>
                <w:color w:val="FFFFFF"/>
                <w:sz w:val="28"/>
                <w:szCs w:val="28"/>
              </w:rPr>
              <w:t xml:space="preserve">GrantsSurveyor</w:t>
            </w:r>
          </w:p>
          <w:p>
            <w:pPr>
              <w:spacing w:before="0" w:after="40"/>
              <w:jc w:val="center"/>
            </w:pPr>
            <w:r>
              <w:rPr>
                <w:rFonts w:ascii="Arial" w:cs="Arial" w:eastAsia="Arial" w:hAnsi="Arial"/>
                <w:i/>
                <w:iCs/>
                <w:color w:val="CCE5FF"/>
                <w:sz w:val="20"/>
                <w:szCs w:val="20"/>
              </w:rPr>
              <w:t xml:space="preserve">Capa de inteligencia investigativa</w:t>
            </w:r>
          </w:p>
        </w:tc>
      </w:tr>
      <w:tr>
        <w:tc>
          <w:tcPr>
            <w:tcW w:type="dxa" w:w="4513"/>
            <w:tcBorders>
              <w:top w:val="single" w:color="CCCCCC" w:sz="1"/>
              <w:left w:val="single" w:color="CCCCCC" w:sz="1"/>
              <w:bottom w:val="single" w:color="CCCCCC" w:sz="1"/>
              <w:right w:val="single" w:color="CCCCCC" w:sz="1"/>
            </w:tcBorders>
            <w:shd w:fill="E0F2F1"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color w:val="000000"/>
                <w:sz w:val="22"/>
                <w:szCs w:val="22"/>
              </w:rPr>
              <w:t xml:space="preserve">Registra fuentes de datos y sus extractores</w:t>
            </w:r>
          </w:p>
          <w:p>
            <w:pPr>
              <w:pStyle w:val="ListParagraph"/>
              <w:numPr>
                <w:ilvl w:val="0"/>
                <w:numId w:val="2"/>
              </w:numPr>
              <w:spacing w:before="60" w:after="60"/>
            </w:pPr>
            <w:r>
              <w:rPr>
                <w:rFonts w:ascii="Arial" w:cs="Arial" w:eastAsia="Arial" w:hAnsi="Arial"/>
                <w:color w:val="000000"/>
                <w:sz w:val="22"/>
                <w:szCs w:val="22"/>
              </w:rPr>
              <w:t xml:space="preserve">Ejecuta el ciclo ETL completo</w:t>
            </w:r>
          </w:p>
          <w:p>
            <w:pPr>
              <w:pStyle w:val="ListParagraph"/>
              <w:numPr>
                <w:ilvl w:val="0"/>
                <w:numId w:val="2"/>
              </w:numPr>
              <w:spacing w:before="60" w:after="60"/>
            </w:pPr>
            <w:r>
              <w:rPr>
                <w:rFonts w:ascii="Arial" w:cs="Arial" w:eastAsia="Arial" w:hAnsi="Arial"/>
                <w:color w:val="000000"/>
                <w:sz w:val="22"/>
                <w:szCs w:val="22"/>
              </w:rPr>
              <w:t xml:space="preserve">Almacena los datos transformados</w:t>
            </w:r>
          </w:p>
          <w:p>
            <w:pPr>
              <w:pStyle w:val="ListParagraph"/>
              <w:numPr>
                <w:ilvl w:val="0"/>
                <w:numId w:val="2"/>
              </w:numPr>
              <w:spacing w:before="60" w:after="60"/>
            </w:pPr>
            <w:r>
              <w:rPr>
                <w:rFonts w:ascii="Arial" w:cs="Arial" w:eastAsia="Arial" w:hAnsi="Arial"/>
                <w:color w:val="000000"/>
                <w:sz w:val="22"/>
                <w:szCs w:val="22"/>
              </w:rPr>
              <w:t xml:space="preserve">Versiona los datasets semánticamente</w:t>
            </w:r>
          </w:p>
          <w:p>
            <w:pPr>
              <w:pStyle w:val="ListParagraph"/>
              <w:numPr>
                <w:ilvl w:val="0"/>
                <w:numId w:val="2"/>
              </w:numPr>
              <w:spacing w:before="60" w:after="60"/>
            </w:pPr>
            <w:r>
              <w:rPr>
                <w:rFonts w:ascii="Arial" w:cs="Arial" w:eastAsia="Arial" w:hAnsi="Arial"/>
                <w:color w:val="000000"/>
                <w:sz w:val="22"/>
                <w:szCs w:val="22"/>
              </w:rPr>
              <w:t xml:space="preserve">Notifica cambios a aplicaciones suscritas</w:t>
            </w:r>
          </w:p>
          <w:p>
            <w:pPr>
              <w:pStyle w:val="ListParagraph"/>
              <w:numPr>
                <w:ilvl w:val="0"/>
                <w:numId w:val="2"/>
              </w:numPr>
              <w:spacing w:before="60" w:after="60"/>
            </w:pPr>
            <w:r>
              <w:rPr>
                <w:rFonts w:ascii="Arial" w:cs="Arial" w:eastAsia="Arial" w:hAnsi="Arial"/>
                <w:color w:val="000000"/>
                <w:sz w:val="22"/>
                <w:szCs w:val="22"/>
              </w:rPr>
              <w:t xml:space="preserve">No conoce el dominio de los datos</w:t>
            </w:r>
          </w:p>
        </w:tc>
        <w:tc>
          <w:tcPr>
            <w:tcW w:type="dxa" w:w="4513"/>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color w:val="000000"/>
                <w:sz w:val="22"/>
                <w:szCs w:val="22"/>
              </w:rPr>
              <w:t xml:space="preserve">Recibe datos de OpenDataManager</w:t>
            </w:r>
          </w:p>
          <w:p>
            <w:pPr>
              <w:pStyle w:val="ListParagraph"/>
              <w:numPr>
                <w:ilvl w:val="0"/>
                <w:numId w:val="2"/>
              </w:numPr>
              <w:spacing w:before="60" w:after="60"/>
            </w:pPr>
            <w:r>
              <w:rPr>
                <w:rFonts w:ascii="Arial" w:cs="Arial" w:eastAsia="Arial" w:hAnsi="Arial"/>
                <w:color w:val="000000"/>
                <w:sz w:val="22"/>
                <w:szCs w:val="22"/>
              </w:rPr>
              <w:t xml:space="preserve">Construye grafos de conocimiento</w:t>
            </w:r>
          </w:p>
          <w:p>
            <w:pPr>
              <w:pStyle w:val="ListParagraph"/>
              <w:numPr>
                <w:ilvl w:val="0"/>
                <w:numId w:val="2"/>
              </w:numPr>
              <w:spacing w:before="60" w:after="60"/>
            </w:pPr>
            <w:r>
              <w:rPr>
                <w:rFonts w:ascii="Arial" w:cs="Arial" w:eastAsia="Arial" w:hAnsi="Arial"/>
                <w:color w:val="000000"/>
                <w:sz w:val="22"/>
                <w:szCs w:val="22"/>
              </w:rPr>
              <w:t xml:space="preserve">Evalúa con motor de reglas e IA</w:t>
            </w:r>
          </w:p>
          <w:p>
            <w:pPr>
              <w:pStyle w:val="ListParagraph"/>
              <w:numPr>
                <w:ilvl w:val="0"/>
                <w:numId w:val="2"/>
              </w:numPr>
              <w:spacing w:before="60" w:after="60"/>
            </w:pPr>
            <w:r>
              <w:rPr>
                <w:rFonts w:ascii="Arial" w:cs="Arial" w:eastAsia="Arial" w:hAnsi="Arial"/>
                <w:color w:val="000000"/>
                <w:sz w:val="22"/>
                <w:szCs w:val="22"/>
              </w:rPr>
              <w:t xml:space="preserve">Gestiona investigaciones y ciclos</w:t>
            </w:r>
          </w:p>
          <w:p>
            <w:pPr>
              <w:pStyle w:val="ListParagraph"/>
              <w:numPr>
                <w:ilvl w:val="0"/>
                <w:numId w:val="2"/>
              </w:numPr>
              <w:spacing w:before="60" w:after="60"/>
            </w:pPr>
            <w:r>
              <w:rPr>
                <w:rFonts w:ascii="Arial" w:cs="Arial" w:eastAsia="Arial" w:hAnsi="Arial"/>
                <w:color w:val="000000"/>
                <w:sz w:val="22"/>
                <w:szCs w:val="22"/>
              </w:rPr>
              <w:t xml:space="preserve">Presenta hallazgos al analista</w:t>
            </w:r>
          </w:p>
          <w:p>
            <w:pPr>
              <w:pStyle w:val="ListParagraph"/>
              <w:numPr>
                <w:ilvl w:val="0"/>
                <w:numId w:val="2"/>
              </w:numPr>
              <w:spacing w:before="60" w:after="60"/>
            </w:pPr>
            <w:r>
              <w:rPr>
                <w:rFonts w:ascii="Arial" w:cs="Arial" w:eastAsia="Arial" w:hAnsi="Arial"/>
                <w:color w:val="000000"/>
                <w:sz w:val="22"/>
                <w:szCs w:val="22"/>
              </w:rPr>
              <w:t xml:space="preserve">No gestiona extracción de datos</w:t>
            </w:r>
          </w:p>
        </w:tc>
      </w:tr>
    </w:tbl>
    <w:p>
      <w:pPr>
        <w:spacing w:before="80" w:after="80"/>
      </w:pPr>
      <w:r>
        <w:rPr>
          <w:rFonts w:ascii="Arial" w:cs="Arial" w:eastAsia="Arial" w:hAnsi="Arial"/>
          <w:sz w:val="22"/>
          <w:szCs w:val="22"/>
        </w:rPr>
        <w:t xml:space="preserve"/>
      </w:r>
    </w:p>
    <w:p>
      <w:pPr>
        <w:shd w:fill="D6E4F0" w:val="clear"/>
        <w:spacing w:before="160" w:after="160"/>
        <w:ind w:left="360" w:right="360"/>
      </w:pPr>
      <w:r>
        <w:rPr>
          <w:rFonts w:ascii="Arial" w:cs="Arial" w:eastAsia="Arial" w:hAnsi="Arial"/>
          <w:i/>
          <w:iCs/>
          <w:color w:val="1F4E79"/>
          <w:sz w:val="20"/>
          <w:szCs w:val="20"/>
        </w:rPr>
        <w:t xml:space="preserve">La separación es absoluta y deliberada. OpenDataManager no sabe de subvenciones ni de entidades religiosas. GrantsSurveyor no sabe de fetchers ni de bases de datos. Cada sistema puede evolucionar, desplegarse y mantenerse de forma completamente independiente.</w:t>
      </w:r>
    </w:p>
    <w:p>
      <w:r>
        <w:br w:type="page"/>
      </w:r>
    </w:p>
    <w:p>
      <w:pPr>
        <w:pStyle w:val="Heading1"/>
        <w:spacing w:before="440" w:after="200"/>
      </w:pPr>
      <w:r>
        <w:rPr>
          <w:rFonts w:ascii="Arial" w:cs="Arial" w:eastAsia="Arial" w:hAnsi="Arial"/>
          <w:b/>
          <w:bCs/>
          <w:color w:val="1F4E79"/>
          <w:sz w:val="40"/>
          <w:szCs w:val="40"/>
        </w:rPr>
        <w:t xml:space="preserve">3. OpenDataManager: la infraestructura de datos</w:t>
      </w:r>
    </w:p>
    <w:p>
      <w:pPr>
        <w:spacing w:before="80" w:after="100"/>
      </w:pPr>
      <w:r>
        <w:rPr>
          <w:rFonts w:ascii="Arial" w:cs="Arial" w:eastAsia="Arial" w:hAnsi="Arial"/>
          <w:sz w:val="22"/>
          <w:szCs w:val="22"/>
        </w:rPr>
        <w:t xml:space="preserve">OpenDataManager es un backend metadata-driven para la gestión de recursos de datos abiertos con ETL automatizado. Su principio de diseño central es la genericidad: el sistema no sabe qué datos gestiona, solo cómo gestionarlos.</w:t>
      </w:r>
    </w:p>
    <w:p>
      <w:pPr>
        <w:pStyle w:val="Heading2"/>
        <w:pBdr>
          <w:bottom w:val="single" w:color="2E75B6" w:sz="4" w:space="4"/>
        </w:pBdr>
        <w:spacing w:before="320" w:after="160"/>
      </w:pPr>
      <w:r>
        <w:rPr>
          <w:rFonts w:ascii="Arial" w:cs="Arial" w:eastAsia="Arial" w:hAnsi="Arial"/>
          <w:b/>
          <w:bCs/>
          <w:color w:val="2E75B6"/>
          <w:sz w:val="28"/>
          <w:szCs w:val="28"/>
        </w:rPr>
        <w:t xml:space="preserve">3.1  Conceptos fundamentales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Concepto</w:t>
            </w:r>
          </w:p>
        </w:tc>
        <w:tc>
          <w:tcPr>
            <w:tcW w:type="dxa" w:w="72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Qué es</w:t>
            </w:r>
          </w:p>
        </w:tc>
      </w:tr>
      <w:tr>
        <w:tc>
          <w:tcPr>
            <w:tcW w:type="dxa" w:w="18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Fetcher</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Clase Python que sabe extraer datos de un tipo de fuente (REST, CSV, SOAP, scraping...). Registrado en BD con su class_path para instanciación dinámica.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FetcherParams</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Definición de los parámetros que acepta un Fetcher. Permite validar la configuración de cualquier Resource antes de ejecutarlo.</w:t>
            </w:r>
          </w:p>
        </w:tc>
      </w:tr>
      <w:tr>
        <w:tc>
          <w:tcPr>
            <w:tcW w:type="dxa" w:w="18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Resource</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Una fuente de datos concreta: una URL, un fichero, un endpoint. Combina un Fetcher con sus parámetros específicos. Tiene ciclo de vida propio (activo, en pausa, archivado).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Dataset</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resultado de una ejecución exitosa. Versionado semánticamente (major.minor.patch). Contiene el schema de campos garantizados y la ruta al dato transformado.</w:t>
            </w:r>
          </w:p>
        </w:tc>
      </w:tr>
      <w:tr>
        <w:tc>
          <w:tcPr>
            <w:tcW w:type="dxa" w:w="18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Application</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Cualquier sistema suscrito que consume datos de OpenDataManager. GrantsSurveyor es una Application. Tiene webhook_url y webhook_secret para recibir notificaciones.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DatasetSubscription</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Relación entre una Application y un Resource. Controla qué versiones acepta automáticamente (auto_upgrade: patch, minor, major) y cuál tiene actualmente.</w:t>
            </w:r>
          </w:p>
        </w:tc>
      </w:tr>
      <w:tr>
        <w:tc>
          <w:tcPr>
            <w:tcW w:type="dxa" w:w="18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ResourceExecution</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Registro de auditoría de cada ejecución: cuándo empezó, cuándo terminó, cuántos registros procesó, dónde está el staging y si hubo errores.</w:t>
            </w:r>
          </w:p>
        </w:tc>
      </w:tr>
    </w:tbl>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3.2  El pipeline ETL</w:t>
      </w:r>
    </w:p>
    <w:p>
      <w:pPr>
        <w:spacing w:before="80" w:after="100"/>
      </w:pPr>
      <w:r>
        <w:rPr>
          <w:rFonts w:ascii="Arial" w:cs="Arial" w:eastAsia="Arial" w:hAnsi="Arial"/>
          <w:sz w:val="22"/>
          <w:szCs w:val="22"/>
        </w:rPr>
        <w:t xml:space="preserve">Cada vez que OpenDataManager ejecuta un Resource — ya sea por scheduler o manualmente — el dato recorre cuatro etapas:</w:t>
      </w:r>
    </w:p>
    <w:p>
      <w:pPr>
        <w:spacing w:before="80" w:after="80"/>
      </w:pPr>
      <w:r>
        <w:rPr>
          <w:rFonts w:ascii="Arial" w:cs="Arial" w:eastAsia="Arial" w:hAnsi="Arial"/>
          <w:sz w:val="22"/>
          <w:szCs w:val="22"/>
        </w:rPr>
        <w:t xml:space="preserve"/>
      </w:r>
    </w:p>
    <w:p>
      <w:pPr>
        <w:pStyle w:val="ListParagraph"/>
        <w:numPr>
          <w:ilvl w:val="0"/>
          <w:numId w:val="3"/>
        </w:numPr>
        <w:spacing w:before="70" w:after="70"/>
      </w:pPr>
      <w:r>
        <w:rPr>
          <w:rFonts w:ascii="Arial" w:cs="Arial" w:eastAsia="Arial" w:hAnsi="Arial"/>
          <w:sz w:val="22"/>
          <w:szCs w:val="22"/>
        </w:rPr>
        <w:t xml:space="preserve">EXTRACT: el Fetcher conecta con la fuente y descarga los datos crudos según sus ResourceParams.</w:t>
      </w:r>
    </w:p>
    <w:p>
      <w:pPr>
        <w:pStyle w:val="ListParagraph"/>
        <w:numPr>
          <w:ilvl w:val="0"/>
          <w:numId w:val="3"/>
        </w:numPr>
        <w:spacing w:before="70" w:after="70"/>
      </w:pPr>
      <w:r>
        <w:rPr>
          <w:rFonts w:ascii="Arial" w:cs="Arial" w:eastAsia="Arial" w:hAnsi="Arial"/>
          <w:sz w:val="22"/>
          <w:szCs w:val="22"/>
        </w:rPr>
        <w:t xml:space="preserve">STAGE: los datos se escriben en el filesystem de staging en formato JSONL, con un execution_id único. El staging es temporal e inmutable.</w:t>
      </w:r>
    </w:p>
    <w:p>
      <w:pPr>
        <w:pStyle w:val="ListParagraph"/>
        <w:numPr>
          <w:ilvl w:val="0"/>
          <w:numId w:val="3"/>
        </w:numPr>
        <w:spacing w:before="70" w:after="70"/>
      </w:pPr>
      <w:r>
        <w:rPr>
          <w:rFonts w:ascii="Arial" w:cs="Arial" w:eastAsia="Arial" w:hAnsi="Arial"/>
          <w:sz w:val="22"/>
          <w:szCs w:val="22"/>
        </w:rPr>
        <w:t xml:space="preserve">LOAD: el DataLoader lee el JSONL, aplica la transformación genérica definida en el Fetcher, y carga en el core schema de PostgreSQL. El load_mode determina si reemplaza o hace upsert.</w:t>
      </w:r>
    </w:p>
    <w:p>
      <w:pPr>
        <w:pStyle w:val="ListParagraph"/>
        <w:numPr>
          <w:ilvl w:val="0"/>
          <w:numId w:val="3"/>
        </w:numPr>
        <w:spacing w:before="70" w:after="70"/>
      </w:pPr>
      <w:r>
        <w:rPr>
          <w:rFonts w:ascii="Arial" w:cs="Arial" w:eastAsia="Arial" w:hAnsi="Arial"/>
          <w:sz w:val="22"/>
          <w:szCs w:val="22"/>
        </w:rPr>
        <w:t xml:space="preserve">NOTIFY: OpenDataManager detecta qué Applications tienen DatasetSubscriptions activas para ese Resource, comprueba si la nueva versión cumple el auto_upgrade configurado, y envía un webhook firmado con HMAC a cada una.</w:t>
      </w:r>
    </w:p>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3.3  Versionado semántico de datasets</w:t>
      </w:r>
    </w:p>
    <w:p>
      <w:pPr>
        <w:spacing w:before="80" w:after="100"/>
      </w:pPr>
      <w:r>
        <w:rPr>
          <w:rFonts w:ascii="Arial" w:cs="Arial" w:eastAsia="Arial" w:hAnsi="Arial"/>
          <w:sz w:val="22"/>
          <w:szCs w:val="22"/>
        </w:rPr>
        <w:t xml:space="preserve">Cada Dataset tiene una versión major.minor.patch que sigue el mismo contrato que el versionado semántico de software:</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patch: </w:t>
      </w:r>
      <w:r>
        <w:rPr>
          <w:rFonts w:ascii="Arial" w:cs="Arial" w:eastAsia="Arial" w:hAnsi="Arial"/>
          <w:sz w:val="22"/>
          <w:szCs w:val="22"/>
        </w:rPr>
        <w:t xml:space="preserve">más registros del mismo schema. GrantsSurveyor los acepta automáticamente.</w:t>
      </w:r>
    </w:p>
    <w:p>
      <w:pPr>
        <w:pStyle w:val="ListParagraph"/>
        <w:numPr>
          <w:ilvl w:val="0"/>
          <w:numId w:val="2"/>
        </w:numPr>
        <w:spacing w:before="60" w:after="60"/>
      </w:pPr>
      <w:r>
        <w:rPr>
          <w:rFonts w:ascii="Arial" w:cs="Arial" w:eastAsia="Arial" w:hAnsi="Arial"/>
          <w:b/>
          <w:bCs/>
          <w:sz w:val="22"/>
          <w:szCs w:val="22"/>
        </w:rPr>
        <w:t xml:space="preserve">minor: </w:t>
      </w:r>
      <w:r>
        <w:rPr>
          <w:rFonts w:ascii="Arial" w:cs="Arial" w:eastAsia="Arial" w:hAnsi="Arial"/>
          <w:sz w:val="22"/>
          <w:szCs w:val="22"/>
        </w:rPr>
        <w:t xml:space="preserve">campos nuevos añadidos al schema. GrantsSurveyor los acepta si no rompen su normalizador.</w:t>
      </w:r>
    </w:p>
    <w:p>
      <w:pPr>
        <w:pStyle w:val="ListParagraph"/>
        <w:numPr>
          <w:ilvl w:val="0"/>
          <w:numId w:val="2"/>
        </w:numPr>
        <w:spacing w:before="60" w:after="60"/>
      </w:pPr>
      <w:r>
        <w:rPr>
          <w:rFonts w:ascii="Arial" w:cs="Arial" w:eastAsia="Arial" w:hAnsi="Arial"/>
          <w:b/>
          <w:bCs/>
          <w:sz w:val="22"/>
          <w:szCs w:val="22"/>
        </w:rPr>
        <w:t xml:space="preserve">major: </w:t>
      </w:r>
      <w:r>
        <w:rPr>
          <w:rFonts w:ascii="Arial" w:cs="Arial" w:eastAsia="Arial" w:hAnsi="Arial"/>
          <w:sz w:val="22"/>
          <w:szCs w:val="22"/>
        </w:rPr>
        <w:t xml:space="preserve">cambio incompatible de schema. GrantsSurveyor pausa la investigación y espera que el analista revise el nuevo contrato de campos antes de continuar.</w:t>
      </w:r>
    </w:p>
    <w:p>
      <w:pPr>
        <w:spacing w:before="80" w:after="8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El versionado semántico es la garantía de que GrantsSurveyor nunca procesa datos con un schema inesperado. Si OpenDataManager añade un campo nuevo a BDNS, GrantsSurveyor lo recibe sin romperse. Si reestructura el schema, GrantsSurveyor lo detecta y avisa al analista.</w:t>
      </w:r>
    </w:p>
    <w:p>
      <w:r>
        <w:br w:type="page"/>
      </w:r>
    </w:p>
    <w:p>
      <w:pPr>
        <w:pStyle w:val="Heading1"/>
        <w:spacing w:before="440" w:after="200"/>
      </w:pPr>
      <w:r>
        <w:rPr>
          <w:rFonts w:ascii="Arial" w:cs="Arial" w:eastAsia="Arial" w:hAnsi="Arial"/>
          <w:b/>
          <w:bCs/>
          <w:color w:val="1F4E79"/>
          <w:sz w:val="40"/>
          <w:szCs w:val="40"/>
        </w:rPr>
        <w:t xml:space="preserve">4. GrantsSurveyor: la inteligencia investigativa</w:t>
      </w:r>
    </w:p>
    <w:p>
      <w:pPr>
        <w:spacing w:before="80" w:after="100"/>
      </w:pPr>
      <w:r>
        <w:rPr>
          <w:rFonts w:ascii="Arial" w:cs="Arial" w:eastAsia="Arial" w:hAnsi="Arial"/>
          <w:sz w:val="22"/>
          <w:szCs w:val="22"/>
        </w:rPr>
        <w:t xml:space="preserve">GrantsSurveyor es un banco de trabajo de investigación asistida por IA para la vigilancia del gasto y los procesos públicos. Su principio de diseño central es también la genericidad, pero en la capa de inteligencia: no sabe de subvenciones ni de entidades religiosas — sabe de actores, procesos, activos y relaciones.</w:t>
      </w:r>
    </w:p>
    <w:p>
      <w:pPr>
        <w:pStyle w:val="Heading2"/>
        <w:pBdr>
          <w:bottom w:val="single" w:color="2E75B6" w:sz="4" w:space="4"/>
        </w:pBdr>
        <w:spacing w:before="320" w:after="160"/>
      </w:pPr>
      <w:r>
        <w:rPr>
          <w:rFonts w:ascii="Arial" w:cs="Arial" w:eastAsia="Arial" w:hAnsi="Arial"/>
          <w:b/>
          <w:bCs/>
          <w:color w:val="2E75B6"/>
          <w:sz w:val="28"/>
          <w:szCs w:val="28"/>
        </w:rPr>
        <w:t xml:space="preserve">4.1  El metadominio genérico</w:t>
      </w:r>
    </w:p>
    <w:p>
      <w:pPr>
        <w:spacing w:before="80" w:after="100"/>
      </w:pPr>
      <w:r>
        <w:rPr>
          <w:rFonts w:ascii="Arial" w:cs="Arial" w:eastAsia="Arial" w:hAnsi="Arial"/>
          <w:sz w:val="22"/>
          <w:szCs w:val="22"/>
        </w:rPr>
        <w:t xml:space="preserve">GrantsSurveyor opera sobre cinco tipos de nodo universales que pueden representar cualquier dominio de investigación:</w:t>
      </w:r>
    </w:p>
    <w:p>
      <w:pPr>
        <w:spacing w:before="80" w:after="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Tipo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Qué representa</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Ejemplos</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Actor</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Cualquier entidad que participa en procesos o posee activos</w:t>
            </w:r>
          </w:p>
        </w:tc>
        <w:tc>
          <w:tcPr>
            <w:tcW w:type="dxa" w:w="6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Org. religiosa, ministerio, persona física, empresa, fondo inmobiliario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Proceso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Cualquier flujo o transacción con actores y valor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Concesión de subvención, compraventa de inmueble, adjudicación de contrato</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Activo</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Cualquier bien, derecho o recurso</w:t>
            </w:r>
          </w:p>
        </w:tc>
        <w:tc>
          <w:tcPr>
            <w:tcW w:type="dxa" w:w="6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Inmueble (ref. catastral), licencia, contrato, cargo institucional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Fuente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Documento o dataset del que procede una observación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Dataset BDNS v1.3, BOE-A-2024-1234, web institucional</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Hallazgo</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Agregación de señales que supera el umbral de la investigación</w:t>
            </w:r>
          </w:p>
        </w:tc>
        <w:tc>
          <w:tcPr>
            <w:tcW w:type="dxa" w:w="6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Entidad X recibe fondos públicos — certeza 87%, nivel 2</w:t>
            </w:r>
          </w:p>
        </w:tc>
      </w:tr>
    </w:tbl>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Los nodos no tienen campos de dominio fijos. Un Actor no tiene campo nif_beneficiario ni campo tipo_entidad_religiosa. Tiene atributos dinámicos con clave, valor, fuente de origen y nivel de confianza. El mismo sistema, sin cambios de código, investiga subvenciones hoy y ventas de inmuebles mañana.</w:t>
      </w:r>
    </w:p>
    <w:p>
      <w:pPr>
        <w:pStyle w:val="Heading2"/>
        <w:pBdr>
          <w:bottom w:val="single" w:color="2E75B6" w:sz="4" w:space="4"/>
        </w:pBdr>
        <w:spacing w:before="320" w:after="160"/>
      </w:pPr>
      <w:r>
        <w:rPr>
          <w:rFonts w:ascii="Arial" w:cs="Arial" w:eastAsia="Arial" w:hAnsi="Arial"/>
          <w:b/>
          <w:bCs/>
          <w:color w:val="2E75B6"/>
          <w:sz w:val="28"/>
          <w:szCs w:val="28"/>
        </w:rPr>
        <w:t xml:space="preserve">4.2  El WatchProfile: la inteligencia de cada investigación</w:t>
      </w:r>
    </w:p>
    <w:p>
      <w:pPr>
        <w:spacing w:before="80" w:after="100"/>
      </w:pPr>
      <w:r>
        <w:rPr>
          <w:rFonts w:ascii="Arial" w:cs="Arial" w:eastAsia="Arial" w:hAnsi="Arial"/>
          <w:sz w:val="22"/>
          <w:szCs w:val="22"/>
        </w:rPr>
        <w:t xml:space="preserve">Cada investigación tiene un WatchProfile: el conjunto de reglas booleanas, vocabulario de señales y umbrales que definen qué busca el agente. Es la única pieza específica de dominio en todo el sistema.</w:t>
      </w:r>
    </w:p>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El WatchProfile puede definir reglas como:</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«Si el identificador principal del Actor empieza por R (NIF religioso en España), nivel de certeza 1 — certeza máxima.»</w:t>
      </w:r>
    </w:p>
    <w:p>
      <w:pPr>
        <w:pStyle w:val="ListParagraph"/>
        <w:numPr>
          <w:ilvl w:val="0"/>
          <w:numId w:val="2"/>
        </w:numPr>
        <w:spacing w:before="60" w:after="60"/>
      </w:pPr>
      <w:r>
        <w:rPr>
          <w:rFonts w:ascii="Arial" w:cs="Arial" w:eastAsia="Arial" w:hAnsi="Arial"/>
          <w:color w:val="000000"/>
          <w:sz w:val="22"/>
          <w:szCs w:val="22"/>
        </w:rPr>
        <w:t xml:space="preserve">«Si el Actor tiene un atributo nombre cuyo valor contiene hermandad o cofradía, nivel 4 — señal léxica.»</w:t>
      </w:r>
    </w:p>
    <w:p>
      <w:pPr>
        <w:pStyle w:val="ListParagraph"/>
        <w:numPr>
          <w:ilvl w:val="0"/>
          <w:numId w:val="2"/>
        </w:numPr>
        <w:spacing w:before="60" w:after="60"/>
      </w:pPr>
      <w:r>
        <w:rPr>
          <w:rFonts w:ascii="Arial" w:cs="Arial" w:eastAsia="Arial" w:hAnsi="Arial"/>
          <w:color w:val="000000"/>
          <w:sz w:val="22"/>
          <w:szCs w:val="22"/>
        </w:rPr>
        <w:t xml:space="preserve">«Si algún Actor relacionado por CONTROLA aparece confirmado en otra investigación del mismo proyecto, nivel 3 — red de afiliaciones.»</w:t>
      </w:r>
    </w:p>
    <w:p>
      <w:pPr>
        <w:pStyle w:val="ListParagraph"/>
        <w:numPr>
          <w:ilvl w:val="0"/>
          <w:numId w:val="2"/>
        </w:numPr>
        <w:spacing w:before="60" w:after="60"/>
      </w:pPr>
      <w:r>
        <w:rPr>
          <w:rFonts w:ascii="Arial" w:cs="Arial" w:eastAsia="Arial" w:hAnsi="Arial"/>
          <w:color w:val="000000"/>
          <w:sz w:val="22"/>
          <w:szCs w:val="22"/>
        </w:rPr>
        <w:t xml:space="preserve">«Si convergen tres o más señales débiles sobre el mismo Actor, nivel 4 — convergencia de indicios.»</w:t>
      </w:r>
    </w:p>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El motor de reglas es completamente determinista y auditable. El LLM enriquece la narrativa explicativa de los hallazgos ambiguos, pero nunca es la única fuente de evidencia.</w:t>
      </w:r>
    </w:p>
    <w:p>
      <w:pPr>
        <w:pStyle w:val="Heading2"/>
        <w:pBdr>
          <w:bottom w:val="single" w:color="2E75B6" w:sz="4" w:space="4"/>
        </w:pBdr>
        <w:spacing w:before="320" w:after="160"/>
      </w:pPr>
      <w:r>
        <w:rPr>
          <w:rFonts w:ascii="Arial" w:cs="Arial" w:eastAsia="Arial" w:hAnsi="Arial"/>
          <w:b/>
          <w:bCs/>
          <w:color w:val="2E75B6"/>
          <w:sz w:val="28"/>
          <w:szCs w:val="28"/>
        </w:rPr>
        <w:t xml:space="preserve">4.3  Los cinco niveles de certeza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5426"/>
      </w:tblGrid>
      <w:t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Niv.</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Nombre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Rango</w:t>
            </w:r>
          </w:p>
        </w:tc>
        <w:tc>
          <w:tcPr>
            <w:tcW w:type="dxa" w:w="5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Fuente típica</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rFonts w:ascii="Arial" w:cs="Arial" w:eastAsia="Arial" w:hAnsi="Arial"/>
                <w:b/>
                <w:bCs/>
                <w:color w:val="1A7F37"/>
                <w:sz w:val="19"/>
                <w:szCs w:val="19"/>
              </w:rPr>
              <w:t xml:space="preserve">1</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rFonts w:ascii="Arial" w:cs="Arial" w:eastAsia="Arial" w:hAnsi="Arial"/>
                <w:b/>
                <w:bCs/>
                <w:color w:val="1A7F37"/>
                <w:sz w:val="19"/>
                <w:szCs w:val="19"/>
              </w:rPr>
              <w:t xml:space="preserve">Certeza estructural</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19"/>
                <w:szCs w:val="19"/>
              </w:rPr>
              <w:t xml:space="preserve">95–100%</w:t>
            </w:r>
          </w:p>
        </w:tc>
        <w:tc>
          <w:tcPr>
            <w:tcW w:type="dxa" w:w="542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19"/>
                <w:szCs w:val="19"/>
              </w:rPr>
              <w:t xml:space="preserve">NIF empieza por R — irrefutable</w:t>
            </w:r>
          </w:p>
        </w:tc>
      </w:tr>
      <w:tr>
        <w:tc>
          <w:tcPr>
            <w:tcW w:type="dxa" w:w="400"/>
            <w:tcBorders>
              <w:top w:val="single" w:color="CCCCCC" w:sz="1"/>
              <w:left w:val="single" w:color="CCCCCC" w:sz="1"/>
              <w:bottom w:val="single" w:color="CCCCCC" w:sz="1"/>
              <w:right w:val="single" w:color="CCCCCC" w:sz="1"/>
            </w:tcBorders>
            <w:shd w:fill="D0E4FF" w:val="clear"/>
            <w:tcMar>
              <w:top w:type="dxa" w:w="100"/>
              <w:left w:type="dxa" w:w="140"/>
              <w:bottom w:type="dxa" w:w="100"/>
              <w:right w:type="dxa" w:w="140"/>
            </w:tcMar>
          </w:tcPr>
          <w:p>
            <w:r>
              <w:rPr>
                <w:rFonts w:ascii="Arial" w:cs="Arial" w:eastAsia="Arial" w:hAnsi="Arial"/>
                <w:b/>
                <w:bCs/>
                <w:color w:val="2E75B6"/>
                <w:sz w:val="19"/>
                <w:szCs w:val="19"/>
              </w:rPr>
              <w:t xml:space="preserve">2</w:t>
            </w:r>
          </w:p>
        </w:tc>
        <w:tc>
          <w:tcPr>
            <w:tcW w:type="dxa" w:w="2000"/>
            <w:tcBorders>
              <w:top w:val="single" w:color="CCCCCC" w:sz="1"/>
              <w:left w:val="single" w:color="CCCCCC" w:sz="1"/>
              <w:bottom w:val="single" w:color="CCCCCC" w:sz="1"/>
              <w:right w:val="single" w:color="CCCCCC" w:sz="1"/>
            </w:tcBorders>
            <w:shd w:fill="D0E4FF" w:val="clear"/>
            <w:tcMar>
              <w:top w:type="dxa" w:w="100"/>
              <w:left w:type="dxa" w:w="140"/>
              <w:bottom w:type="dxa" w:w="100"/>
              <w:right w:type="dxa" w:w="140"/>
            </w:tcMar>
          </w:tcPr>
          <w:p>
            <w:r>
              <w:rPr>
                <w:rFonts w:ascii="Arial" w:cs="Arial" w:eastAsia="Arial" w:hAnsi="Arial"/>
                <w:b/>
                <w:bCs/>
                <w:color w:val="2E75B6"/>
                <w:sz w:val="19"/>
                <w:szCs w:val="19"/>
              </w:rPr>
              <w:t xml:space="preserve">Match registral</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19"/>
                <w:szCs w:val="19"/>
              </w:rPr>
              <w:t xml:space="preserve">80–94%</w:t>
            </w:r>
          </w:p>
        </w:tc>
        <w:tc>
          <w:tcPr>
            <w:tcW w:type="dxa" w:w="542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19"/>
                <w:szCs w:val="19"/>
              </w:rPr>
              <w:t xml:space="preserve">Figura en el Registro de Entidades Religiosas</w:t>
            </w:r>
          </w:p>
        </w:tc>
      </w:tr>
      <w:tr>
        <w:tc>
          <w:tcPr>
            <w:tcW w:type="dxa" w:w="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tcPr>
          <w:p>
            <w:r>
              <w:rPr>
                <w:rFonts w:ascii="Arial" w:cs="Arial" w:eastAsia="Arial" w:hAnsi="Arial"/>
                <w:b/>
                <w:bCs/>
                <w:color w:val="5C2D91"/>
                <w:sz w:val="19"/>
                <w:szCs w:val="19"/>
              </w:rPr>
              <w:t xml:space="preserve">3</w:t>
            </w:r>
          </w:p>
        </w:tc>
        <w:tc>
          <w:tcPr>
            <w:tcW w:type="dxa" w:w="20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tcPr>
          <w:p>
            <w:r>
              <w:rPr>
                <w:rFonts w:ascii="Arial" w:cs="Arial" w:eastAsia="Arial" w:hAnsi="Arial"/>
                <w:b/>
                <w:bCs/>
                <w:color w:val="5C2D91"/>
                <w:sz w:val="19"/>
                <w:szCs w:val="19"/>
              </w:rPr>
              <w:t xml:space="preserve">Red de afiliaciones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19"/>
                <w:szCs w:val="19"/>
              </w:rPr>
              <w:t xml:space="preserve">60–79%</w:t>
            </w:r>
          </w:p>
        </w:tc>
        <w:tc>
          <w:tcPr>
            <w:tcW w:type="dxa" w:w="542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19"/>
                <w:szCs w:val="19"/>
              </w:rPr>
              <w:t xml:space="preserve">Miembro de junta vinculado a entidad confirmada</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C55A11"/>
                <w:sz w:val="19"/>
                <w:szCs w:val="19"/>
              </w:rPr>
              <w:t xml:space="preserve">4</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C55A11"/>
                <w:sz w:val="19"/>
                <w:szCs w:val="19"/>
              </w:rPr>
              <w:t xml:space="preserve">Señales léxicas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19"/>
                <w:szCs w:val="19"/>
              </w:rPr>
              <w:t xml:space="preserve">40–59%</w:t>
            </w:r>
          </w:p>
        </w:tc>
        <w:tc>
          <w:tcPr>
            <w:tcW w:type="dxa" w:w="542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19"/>
                <w:szCs w:val="19"/>
              </w:rPr>
              <w:t xml:space="preserve">Nombre contiene «salesiano», «diocesano»</w:t>
            </w:r>
          </w:p>
        </w:tc>
      </w:tr>
      <w:tr>
        <w:tc>
          <w:tcPr>
            <w:tcW w:type="dxa" w:w="400"/>
            <w:tcBorders>
              <w:top w:val="single" w:color="CCCCCC" w:sz="1"/>
              <w:left w:val="single" w:color="CCCCCC" w:sz="1"/>
              <w:bottom w:val="single" w:color="CCCCCC" w:sz="1"/>
              <w:right w:val="single" w:color="CCCCCC" w:sz="1"/>
            </w:tcBorders>
            <w:shd w:fill="FFD6DA" w:val="clear"/>
            <w:tcMar>
              <w:top w:type="dxa" w:w="100"/>
              <w:left w:type="dxa" w:w="140"/>
              <w:bottom w:type="dxa" w:w="100"/>
              <w:right w:type="dxa" w:w="140"/>
            </w:tcMar>
          </w:tcPr>
          <w:p>
            <w:r>
              <w:rPr>
                <w:rFonts w:ascii="Arial" w:cs="Arial" w:eastAsia="Arial" w:hAnsi="Arial"/>
                <w:b/>
                <w:bCs/>
                <w:color w:val="C00000"/>
                <w:sz w:val="19"/>
                <w:szCs w:val="19"/>
              </w:rPr>
              <w:t xml:space="preserve">5</w:t>
            </w:r>
          </w:p>
        </w:tc>
        <w:tc>
          <w:tcPr>
            <w:tcW w:type="dxa" w:w="2000"/>
            <w:tcBorders>
              <w:top w:val="single" w:color="CCCCCC" w:sz="1"/>
              <w:left w:val="single" w:color="CCCCCC" w:sz="1"/>
              <w:bottom w:val="single" w:color="CCCCCC" w:sz="1"/>
              <w:right w:val="single" w:color="CCCCCC" w:sz="1"/>
            </w:tcBorders>
            <w:shd w:fill="FFD6DA" w:val="clear"/>
            <w:tcMar>
              <w:top w:type="dxa" w:w="100"/>
              <w:left w:type="dxa" w:w="140"/>
              <w:bottom w:type="dxa" w:w="100"/>
              <w:right w:type="dxa" w:w="140"/>
            </w:tcMar>
          </w:tcPr>
          <w:p>
            <w:r>
              <w:rPr>
                <w:rFonts w:ascii="Arial" w:cs="Arial" w:eastAsia="Arial" w:hAnsi="Arial"/>
                <w:b/>
                <w:bCs/>
                <w:color w:val="C00000"/>
                <w:sz w:val="19"/>
                <w:szCs w:val="19"/>
              </w:rPr>
              <w:t xml:space="preserve">Inferencia débil</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19"/>
                <w:szCs w:val="19"/>
              </w:rPr>
              <w:t xml:space="preserve">20–39%</w:t>
            </w:r>
          </w:p>
        </w:tc>
        <w:tc>
          <w:tcPr>
            <w:tcW w:type="dxa" w:w="542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19"/>
                <w:szCs w:val="19"/>
              </w:rPr>
              <w:t xml:space="preserve">Convergencia de indicios — requiere investigación</w:t>
            </w:r>
          </w:p>
        </w:tc>
      </w:tr>
    </w:tbl>
    <w:p>
      <w:pPr>
        <w:spacing w:before="80" w:after="80"/>
      </w:pPr>
      <w:r>
        <w:rPr>
          <w:rFonts w:ascii="Arial" w:cs="Arial" w:eastAsia="Arial" w:hAnsi="Arial"/>
          <w:sz w:val="22"/>
          <w:szCs w:val="22"/>
        </w:rPr>
        <w:t xml:space="preserve"/>
      </w:r>
    </w:p>
    <w:p>
      <w:pPr>
        <w:shd w:fill="FCE4D6" w:val="clear"/>
        <w:spacing w:before="160" w:after="160"/>
        <w:ind w:left="360" w:right="360"/>
      </w:pPr>
      <w:r>
        <w:rPr>
          <w:rFonts w:ascii="Arial" w:cs="Arial" w:eastAsia="Arial" w:hAnsi="Arial"/>
          <w:i/>
          <w:iCs/>
          <w:color w:val="C55A11"/>
          <w:sz w:val="20"/>
          <w:szCs w:val="20"/>
        </w:rPr>
        <w:t xml:space="preserve">⚠️  Solo los hallazgos de nivel 1–3, con confirmación humana explícita, pueden aparecer en informes publicables. Los niveles 4–5 generan tareas de investigación, no publicaciones.</w:t>
      </w:r>
    </w:p>
    <w:p>
      <w:pPr>
        <w:pStyle w:val="Heading2"/>
        <w:pBdr>
          <w:bottom w:val="single" w:color="2E75B6" w:sz="4" w:space="4"/>
        </w:pBdr>
        <w:spacing w:before="320" w:after="160"/>
      </w:pPr>
      <w:r>
        <w:rPr>
          <w:rFonts w:ascii="Arial" w:cs="Arial" w:eastAsia="Arial" w:hAnsi="Arial"/>
          <w:b/>
          <w:bCs/>
          <w:color w:val="2E75B6"/>
          <w:sz w:val="28"/>
          <w:szCs w:val="28"/>
        </w:rPr>
        <w:t xml:space="preserve">4.4  Proyectos e investigaciones</w:t>
      </w:r>
    </w:p>
    <w:p>
      <w:pPr>
        <w:spacing w:before="80" w:after="100"/>
      </w:pPr>
      <w:r>
        <w:rPr>
          <w:rFonts w:ascii="Arial" w:cs="Arial" w:eastAsia="Arial" w:hAnsi="Arial"/>
          <w:sz w:val="22"/>
          <w:szCs w:val="22"/>
        </w:rPr>
        <w:t xml:space="preserve">GrantsSurveyor organiza el trabajo en dos niveles:</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Proyecto: </w:t>
      </w:r>
      <w:r>
        <w:rPr>
          <w:rFonts w:ascii="Arial" w:cs="Arial" w:eastAsia="Arial" w:hAnsi="Arial"/>
          <w:sz w:val="22"/>
          <w:szCs w:val="22"/>
        </w:rPr>
        <w:t xml:space="preserve">contenedor organizativo que agrupa investigaciones relacionadas. Las investigaciones de un mismo proyecto comparten el grafo de conocimiento — un Actor confirmado en una investigación es visible para las demás, aunque cada una mantiene sus propias reglas y hallazgos.</w:t>
      </w:r>
    </w:p>
    <w:p>
      <w:pPr>
        <w:pStyle w:val="ListParagraph"/>
        <w:numPr>
          <w:ilvl w:val="0"/>
          <w:numId w:val="2"/>
        </w:numPr>
        <w:spacing w:before="60" w:after="60"/>
      </w:pPr>
      <w:r>
        <w:rPr>
          <w:rFonts w:ascii="Arial" w:cs="Arial" w:eastAsia="Arial" w:hAnsi="Arial"/>
          <w:b/>
          <w:bCs/>
          <w:sz w:val="22"/>
          <w:szCs w:val="22"/>
        </w:rPr>
        <w:t xml:space="preserve">Investigación: </w:t>
      </w:r>
      <w:r>
        <w:rPr>
          <w:rFonts w:ascii="Arial" w:cs="Arial" w:eastAsia="Arial" w:hAnsi="Arial"/>
          <w:sz w:val="22"/>
          <w:szCs w:val="22"/>
        </w:rPr>
        <w:t xml:space="preserve">unidad de trabajo con su propia pregunta de vigilancia, su WatchProfile, sus fuentes de datos suscritas en OpenDataManager, y su historial de ciclos. El agente entrenado de cada investigación puede exportarse como fichero .gsagent e importarse en otra instalación.</w:t>
      </w:r>
    </w:p>
    <w:p>
      <w:r>
        <w:br w:type="page"/>
      </w:r>
    </w:p>
    <w:p>
      <w:pPr>
        <w:pStyle w:val="Heading1"/>
        <w:spacing w:before="440" w:after="200"/>
      </w:pPr>
      <w:r>
        <w:rPr>
          <w:rFonts w:ascii="Arial" w:cs="Arial" w:eastAsia="Arial" w:hAnsi="Arial"/>
          <w:b/>
          <w:bCs/>
          <w:color w:val="1F4E79"/>
          <w:sz w:val="40"/>
          <w:szCs w:val="40"/>
        </w:rPr>
        <w:t xml:space="preserve">5. La integración: cómo hablan los dos sistemas</w:t>
      </w:r>
    </w:p>
    <w:p>
      <w:pPr>
        <w:spacing w:before="80" w:after="100"/>
      </w:pPr>
      <w:r>
        <w:rPr>
          <w:rFonts w:ascii="Arial" w:cs="Arial" w:eastAsia="Arial" w:hAnsi="Arial"/>
          <w:sz w:val="22"/>
          <w:szCs w:val="22"/>
        </w:rPr>
        <w:t xml:space="preserve">La integración sigue el patrón publisher-subscriber con webhook. OpenDataManager publica; GrantsSurveyor escucha y actúa.</w:t>
      </w:r>
    </w:p>
    <w:p>
      <w:pPr>
        <w:pStyle w:val="Heading2"/>
        <w:pBdr>
          <w:bottom w:val="single" w:color="2E75B6" w:sz="4" w:space="4"/>
        </w:pBdr>
        <w:spacing w:before="320" w:after="160"/>
      </w:pPr>
      <w:r>
        <w:rPr>
          <w:rFonts w:ascii="Arial" w:cs="Arial" w:eastAsia="Arial" w:hAnsi="Arial"/>
          <w:b/>
          <w:bCs/>
          <w:color w:val="2E75B6"/>
          <w:sz w:val="28"/>
          <w:szCs w:val="28"/>
        </w:rPr>
        <w:t xml:space="preserve">5.1  Flujo completo de un ciclo de datos</w:t>
      </w:r>
    </w:p>
    <w:p>
      <w:pPr>
        <w:spacing w:before="80" w:after="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①</w:t>
            </w:r>
          </w:p>
        </w:tc>
        <w:tc>
          <w:tcPr>
            <w:tcW w:type="dxa" w:w="88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OpenDataManager ejecuta el Fetcher de BDNS según su schedule. Descarga las concesiones del período, las escribe en staging JSONL, las carga en core.bdns_concesion y crea el Dataset v1.4.0.</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②</w:t>
            </w:r>
          </w:p>
        </w:tc>
        <w:tc>
          <w:tcPr>
            <w:tcW w:type="dxa" w:w="8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OpenDataManager detecta que GrantsSurveyor tiene una DatasetSubscription activa para bdns_concesiones con auto_upgrade="minor". La versión 1.4.0 es un minor upgrade → se notifica.</w:t>
            </w:r>
          </w:p>
        </w:tc>
      </w:tr>
      <w:tr>
        <w:tc>
          <w:tcPr>
            <w:tcW w:type="dxa" w:w="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③</w:t>
            </w:r>
          </w:p>
        </w:tc>
        <w:tc>
          <w:tcPr>
            <w:tcW w:type="dxa" w:w="88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OpenDataManager envía un webhook firmado con HMAC a la webhook_url de GrantsSurveyor con el dataset_id, la versión, el schema_json y el número de registros nuevos.</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④</w:t>
            </w:r>
          </w:p>
        </w:tc>
        <w:tc>
          <w:tcPr>
            <w:tcW w:type="dxa" w:w="8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WebhookReceiver de GrantsSurveyor verifica la firma, registra la notificación y lanza el pipeline de evaluación de forma asíncrona.</w:t>
            </w:r>
          </w:p>
        </w:tc>
      </w:tr>
      <w:tr>
        <w:tc>
          <w:tcPr>
            <w:tcW w:type="dxa" w:w="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⑤</w:t>
            </w:r>
          </w:p>
        </w:tc>
        <w:tc>
          <w:tcPr>
            <w:tcW w:type="dxa" w:w="88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ODMClient de GrantsSurveyor consulta via GraphQL los registros nuevos del dataset, usando el schema_json para mapear campos dinámicamente al metadominio (Actor, Proceso).</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⑥</w:t>
            </w:r>
          </w:p>
        </w:tc>
        <w:tc>
          <w:tcPr>
            <w:tcW w:type="dxa" w:w="8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Normalizer aplica la lógica de dominio específica: limpieza de NIFs, scoring de calidad, resolución de entidades por nombre.</w:t>
            </w:r>
          </w:p>
        </w:tc>
      </w:tr>
      <w:tr>
        <w:tc>
          <w:tcPr>
            <w:tcW w:type="dxa" w:w="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⑦</w:t>
            </w:r>
          </w:p>
        </w:tc>
        <w:tc>
          <w:tcPr>
            <w:tcW w:type="dxa" w:w="88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RuleEngine evalúa cada nuevo Proceso (concesión) contra el WatchProfile de cada investigación activa que tiene bdns_concesiones entre sus fuentes suscritas.</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⑧</w:t>
            </w:r>
          </w:p>
        </w:tc>
        <w:tc>
          <w:tcPr>
            <w:tcW w:type="dxa" w:w="8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Evaluator llama a Claude para los casos ambiguos y genera el Finding con narrativa explicativa, nivel de certeza y recomendación.</w:t>
            </w:r>
          </w:p>
        </w:tc>
      </w:tr>
      <w:tr>
        <w:tc>
          <w:tcPr>
            <w:tcW w:type="dxa" w:w="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⑨</w:t>
            </w:r>
          </w:p>
        </w:tc>
        <w:tc>
          <w:tcPr>
            <w:tcW w:type="dxa" w:w="88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GraphStore actualiza el grafo de conocimiento del proyecto con los nuevos nodos, atributos y relaciones.</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⑩</w:t>
            </w:r>
          </w:p>
        </w:tc>
        <w:tc>
          <w:tcPr>
            <w:tcW w:type="dxa" w:w="8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Workbench notifica al analista: hay N hallazgos nuevos pendientes de revisión, ordenados por nivel de certeza descendente.</w:t>
            </w:r>
          </w:p>
        </w:tc>
      </w:tr>
    </w:tbl>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5.2  El registro de GrantsSurveyor en OpenDataManager</w:t>
      </w:r>
    </w:p>
    <w:p>
      <w:pPr>
        <w:spacing w:before="80" w:after="100"/>
      </w:pPr>
      <w:r>
        <w:rPr>
          <w:rFonts w:ascii="Arial" w:cs="Arial" w:eastAsia="Arial" w:hAnsi="Arial"/>
          <w:sz w:val="22"/>
          <w:szCs w:val="22"/>
        </w:rPr>
        <w:t xml:space="preserve">GrantsSurveyor se registra como Application en OpenDataManager con la siguiente configuración:</w:t>
      </w:r>
    </w:p>
    <w:p>
      <w:pPr>
        <w:spacing w:before="80" w:after="8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color w:val="1F4E79"/>
          <w:sz w:val="18"/>
          <w:szCs w:val="18"/>
        </w:rPr>
        <w:t xml:space="preserve"># opendata.application</w:t>
      </w:r>
      <w:r>
        <w:rPr>
          <w:rFonts w:ascii="Courier New" w:cs="Courier New" w:eastAsia="Courier New" w:hAnsi="Courier New"/>
          <w:color w:val="1F4E79"/>
          <w:sz w:val="18"/>
          <w:szCs w:val="18"/>
        </w:rPr>
        <w:br/>
        <w:t xml:space="preserve">name:            'GrantsSurveyor'</w:t>
      </w:r>
      <w:r>
        <w:rPr>
          <w:rFonts w:ascii="Courier New" w:cs="Courier New" w:eastAsia="Courier New" w:hAnsi="Courier New"/>
          <w:color w:val="1F4E79"/>
          <w:sz w:val="18"/>
          <w:szCs w:val="18"/>
        </w:rPr>
        <w:br/>
        <w:t xml:space="preserve">webhook_url:     'http://localhost:8050/webhook/odm'</w:t>
      </w:r>
      <w:r>
        <w:rPr>
          <w:rFonts w:ascii="Courier New" w:cs="Courier New" w:eastAsia="Courier New" w:hAnsi="Courier New"/>
          <w:color w:val="1F4E79"/>
          <w:sz w:val="18"/>
          <w:szCs w:val="18"/>
        </w:rPr>
        <w:br/>
        <w:t xml:space="preserve">webhook_secret:  '&lt;hmac-secret&gt;'</w:t>
      </w:r>
      <w:r>
        <w:rPr>
          <w:rFonts w:ascii="Courier New" w:cs="Courier New" w:eastAsia="Courier New" w:hAnsi="Courier New"/>
          <w:color w:val="1F4E79"/>
          <w:sz w:val="18"/>
          <w:szCs w:val="18"/>
        </w:rPr>
        <w:br/>
        <w:t xml:space="preserve">models_path:     'grants_surveyor.odm_models'</w:t>
      </w:r>
      <w:r>
        <w:rPr>
          <w:rFonts w:ascii="Courier New" w:cs="Courier New" w:eastAsia="Courier New" w:hAnsi="Courier New"/>
          <w:color w:val="1F4E79"/>
          <w:sz w:val="18"/>
          <w:szCs w:val="18"/>
        </w:rPr>
        <w:br/>
        <w:t xml:space="preserve">active:          true</w:t>
      </w:r>
      <w:r>
        <w:rPr>
          <w:rFonts w:ascii="Courier New" w:cs="Courier New" w:eastAsia="Courier New" w:hAnsi="Courier New"/>
          <w:color w:val="1F4E79"/>
          <w:sz w:val="18"/>
          <w:szCs w:val="18"/>
        </w:rPr>
        <w:br/>
        <w:t xml:space="preserve"/>
      </w:r>
      <w:r>
        <w:rPr>
          <w:rFonts w:ascii="Courier New" w:cs="Courier New" w:eastAsia="Courier New" w:hAnsi="Courier New"/>
          <w:color w:val="1F4E79"/>
          <w:sz w:val="18"/>
          <w:szCs w:val="18"/>
        </w:rPr>
        <w:br/>
        <w:t xml:space="preserve"># opendata.dataset_subscription (una por recurso)</w:t>
      </w:r>
      <w:r>
        <w:rPr>
          <w:rFonts w:ascii="Courier New" w:cs="Courier New" w:eastAsia="Courier New" w:hAnsi="Courier New"/>
          <w:color w:val="1F4E79"/>
          <w:sz w:val="18"/>
          <w:szCs w:val="18"/>
        </w:rPr>
        <w:br/>
        <w:t xml:space="preserve">application_id:  &lt;grants-surveyor-uuid&gt;</w:t>
      </w:r>
      <w:r>
        <w:rPr>
          <w:rFonts w:ascii="Courier New" w:cs="Courier New" w:eastAsia="Courier New" w:hAnsi="Courier New"/>
          <w:color w:val="1F4E79"/>
          <w:sz w:val="18"/>
          <w:szCs w:val="18"/>
        </w:rPr>
        <w:br/>
        <w:t xml:space="preserve">resource_id:     &lt;bdns-concesiones-uuid&gt;</w:t>
      </w:r>
      <w:r>
        <w:rPr>
          <w:rFonts w:ascii="Courier New" w:cs="Courier New" w:eastAsia="Courier New" w:hAnsi="Courier New"/>
          <w:color w:val="1F4E79"/>
          <w:sz w:val="18"/>
          <w:szCs w:val="18"/>
        </w:rPr>
        <w:br/>
        <w:t xml:space="preserve">auto_upgrade:    'minor'   # acepta minor y patch, para en major</w:t>
      </w:r>
      <w:r>
        <w:rPr>
          <w:rFonts w:ascii="Courier New" w:cs="Courier New" w:eastAsia="Courier New" w:hAnsi="Courier New"/>
          <w:color w:val="1F4E79"/>
          <w:sz w:val="18"/>
          <w:szCs w:val="18"/>
        </w:rPr>
        <w:br/>
        <w:t xml:space="preserve">pinned_version:  null      # sigue la última versión automáticamente</w:t>
      </w:r>
    </w:p>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5.3  Gestión de cambios de schema (major version)</w:t>
      </w:r>
    </w:p>
    <w:p>
      <w:pPr>
        <w:spacing w:before="80" w:after="100"/>
      </w:pPr>
      <w:r>
        <w:rPr>
          <w:rFonts w:ascii="Arial" w:cs="Arial" w:eastAsia="Arial" w:hAnsi="Arial"/>
          <w:sz w:val="22"/>
          <w:szCs w:val="22"/>
        </w:rPr>
        <w:t xml:space="preserve">Cuando OpenDataManager publica un Dataset con versión major (2.0.0 donde antes había 1.x.x), el campo de datos ha cambiado de forma incompatible. GrantsSurveyor actúa así:</w:t>
      </w:r>
    </w:p>
    <w:p>
      <w:pPr>
        <w:spacing w:before="80" w:after="80"/>
      </w:pPr>
      <w:r>
        <w:rPr>
          <w:rFonts w:ascii="Arial" w:cs="Arial" w:eastAsia="Arial" w:hAnsi="Arial"/>
          <w:sz w:val="22"/>
          <w:szCs w:val="22"/>
        </w:rPr>
        <w:t xml:space="preserve"/>
      </w:r>
    </w:p>
    <w:p>
      <w:pPr>
        <w:pStyle w:val="ListParagraph"/>
        <w:numPr>
          <w:ilvl w:val="0"/>
          <w:numId w:val="3"/>
        </w:numPr>
        <w:spacing w:before="70" w:after="70"/>
      </w:pPr>
      <w:r>
        <w:rPr>
          <w:rFonts w:ascii="Arial" w:cs="Arial" w:eastAsia="Arial" w:hAnsi="Arial"/>
          <w:sz w:val="22"/>
          <w:szCs w:val="22"/>
        </w:rPr>
        <w:t xml:space="preserve">El WebhookReceiver detecta que es un major upgrade y no lanza el pipeline automáticamente.</w:t>
      </w:r>
    </w:p>
    <w:p>
      <w:pPr>
        <w:pStyle w:val="ListParagraph"/>
        <w:numPr>
          <w:ilvl w:val="0"/>
          <w:numId w:val="3"/>
        </w:numPr>
        <w:spacing w:before="70" w:after="70"/>
      </w:pPr>
      <w:r>
        <w:rPr>
          <w:rFonts w:ascii="Arial" w:cs="Arial" w:eastAsia="Arial" w:hAnsi="Arial"/>
          <w:sz w:val="22"/>
          <w:szCs w:val="22"/>
        </w:rPr>
        <w:t xml:space="preserve">Notifica al analista en el Workbench: «El schema de bdns_concesiones ha cambiado a v2.0.0. Revisa el nuevo contrato de campos antes de continuar.»</w:t>
      </w:r>
    </w:p>
    <w:p>
      <w:pPr>
        <w:pStyle w:val="ListParagraph"/>
        <w:numPr>
          <w:ilvl w:val="0"/>
          <w:numId w:val="3"/>
        </w:numPr>
        <w:spacing w:before="70" w:after="70"/>
      </w:pPr>
      <w:r>
        <w:rPr>
          <w:rFonts w:ascii="Arial" w:cs="Arial" w:eastAsia="Arial" w:hAnsi="Arial"/>
          <w:sz w:val="22"/>
          <w:szCs w:val="22"/>
        </w:rPr>
        <w:t xml:space="preserve">Muestra una comparación entre el schema anterior y el nuevo, destacando campos eliminados o renombrados.</w:t>
      </w:r>
    </w:p>
    <w:p>
      <w:pPr>
        <w:pStyle w:val="ListParagraph"/>
        <w:numPr>
          <w:ilvl w:val="0"/>
          <w:numId w:val="3"/>
        </w:numPr>
        <w:spacing w:before="70" w:after="70"/>
      </w:pPr>
      <w:r>
        <w:rPr>
          <w:rFonts w:ascii="Arial" w:cs="Arial" w:eastAsia="Arial" w:hAnsi="Arial"/>
          <w:sz w:val="22"/>
          <w:szCs w:val="22"/>
        </w:rPr>
        <w:t xml:space="preserve">El analista actualiza el mapeo del Normalizer si es necesario y autoriza la reanudación del pipeline.</w:t>
      </w:r>
    </w:p>
    <w:p>
      <w:pPr>
        <w:spacing w:before="80" w:after="80"/>
      </w:pPr>
      <w:r>
        <w:rPr>
          <w:rFonts w:ascii="Arial" w:cs="Arial" w:eastAsia="Arial" w:hAnsi="Arial"/>
          <w:sz w:val="22"/>
          <w:szCs w:val="22"/>
        </w:rPr>
        <w:t xml:space="preserve"/>
      </w:r>
    </w:p>
    <w:p>
      <w:pPr>
        <w:shd w:fill="EDE7F6" w:val="clear"/>
        <w:spacing w:before="160" w:after="160"/>
        <w:ind w:left="360" w:right="360"/>
      </w:pPr>
      <w:r>
        <w:rPr>
          <w:rFonts w:ascii="Arial" w:cs="Arial" w:eastAsia="Arial" w:hAnsi="Arial"/>
          <w:i/>
          <w:iCs/>
          <w:color w:val="5C2D91"/>
          <w:sz w:val="20"/>
          <w:szCs w:val="20"/>
        </w:rPr>
        <w:t xml:space="preserve">◆ Este mecanismo garantiza que GrantsSurveyor nunca procesa silenciosamente datos con un formato inesperado. La supervisión humana no es solo para los hallazgos — también es para los cambios de infraestructura.</w:t>
      </w:r>
    </w:p>
    <w:p>
      <w:r>
        <w:br w:type="page"/>
      </w:r>
    </w:p>
    <w:p>
      <w:pPr>
        <w:pStyle w:val="Heading1"/>
        <w:spacing w:before="440" w:after="200"/>
      </w:pPr>
      <w:r>
        <w:rPr>
          <w:rFonts w:ascii="Arial" w:cs="Arial" w:eastAsia="Arial" w:hAnsi="Arial"/>
          <w:b/>
          <w:bCs/>
          <w:color w:val="1F4E79"/>
          <w:sz w:val="40"/>
          <w:szCs w:val="40"/>
        </w:rPr>
        <w:t xml:space="preserve">6. El banco de trabajo del investigador</w:t>
      </w:r>
    </w:p>
    <w:p>
      <w:pPr>
        <w:spacing w:before="80" w:after="100"/>
      </w:pPr>
      <w:r>
        <w:rPr>
          <w:rFonts w:ascii="Arial" w:cs="Arial" w:eastAsia="Arial" w:hAnsi="Arial"/>
          <w:sz w:val="22"/>
          <w:szCs w:val="22"/>
        </w:rPr>
        <w:t xml:space="preserve">El analista interactúa con GrantsSurveyor a través de un banco de trabajo Jupyter con interfaz visual. No necesita escribir código para realizar una investigación completa.</w:t>
      </w:r>
    </w:p>
    <w:p>
      <w:pPr>
        <w:pStyle w:val="Heading2"/>
        <w:pBdr>
          <w:bottom w:val="single" w:color="2E75B6" w:sz="4" w:space="4"/>
        </w:pBdr>
        <w:spacing w:before="320" w:after="160"/>
      </w:pPr>
      <w:r>
        <w:rPr>
          <w:rFonts w:ascii="Arial" w:cs="Arial" w:eastAsia="Arial" w:hAnsi="Arial"/>
          <w:b/>
          <w:bCs/>
          <w:color w:val="2E75B6"/>
          <w:sz w:val="28"/>
          <w:szCs w:val="28"/>
        </w:rPr>
        <w:t xml:space="preserve">6.1  Ciclo de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Fase</w:t>
            </w:r>
          </w:p>
        </w:tc>
        <w:tc>
          <w:tcPr>
            <w:tcW w:type="dxa" w:w="68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Qué hace el analista</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1. Nueva investigación</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Describe la pregunta de vigilancia. El agente rastrea las fuentes disponibles en OpenDataManager y propone cuáles activar, con justificación. El analista confirma.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2. Configurar el perfil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Define las reglas de vigilancia desde el Rule Editor visual — sin código. Establece vocabulario de señales y umbrales de publicación.</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3. Ciclo automático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Los datos llegan de OpenDataManager via webhook. El agente evalúa, construye evidencias y genera hallazgos. El analista no interviene en esta fase.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4. Revisar hallazgos</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analista ve cada hallazgo con su cadena de evidencias explicada en lenguaje natural. Confirma, descarta o marca para investigación adicional.</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1F4E79"/>
                <w:sz w:val="19"/>
                <w:szCs w:val="19"/>
              </w:rPr>
              <w:t xml:space="preserve">5. Refinar el perfil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Tras revisar suficientes hallazgos, el agente propone mejoras al WatchProfile basadas en los errores detectados. El analista decide qué aplicar.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6. Publicar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Genera el informe con todas las afirmaciones respaldadas por su fuente y nivel de certeza. Exporta CSV/JSON para análisis adicional.</w:t>
            </w:r>
          </w:p>
        </w:tc>
      </w:tr>
    </w:tbl>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6.2  Anatomía de un hallazgo</w:t>
      </w:r>
    </w:p>
    <w:p>
      <w:pPr>
        <w:spacing w:before="80" w:after="100"/>
      </w:pPr>
      <w:r>
        <w:rPr>
          <w:rFonts w:ascii="Arial" w:cs="Arial" w:eastAsia="Arial" w:hAnsi="Arial"/>
          <w:sz w:val="22"/>
          <w:szCs w:val="22"/>
        </w:rPr>
        <w:t xml:space="preserve">Cada hallazgo que revisa el analista incluye:</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El Actor o Proceso investigado, con todos sus identificadores conocidos de distintas fuentes.</w:t>
      </w:r>
    </w:p>
    <w:p>
      <w:pPr>
        <w:pStyle w:val="ListParagraph"/>
        <w:numPr>
          <w:ilvl w:val="0"/>
          <w:numId w:val="2"/>
        </w:numPr>
        <w:spacing w:before="60" w:after="60"/>
      </w:pPr>
      <w:r>
        <w:rPr>
          <w:rFonts w:ascii="Arial" w:cs="Arial" w:eastAsia="Arial" w:hAnsi="Arial"/>
          <w:color w:val="000000"/>
          <w:sz w:val="22"/>
          <w:szCs w:val="22"/>
        </w:rPr>
        <w:t xml:space="preserve">El nivel de certeza agregado y qué reglas o señales lo determinan.</w:t>
      </w:r>
    </w:p>
    <w:p>
      <w:pPr>
        <w:pStyle w:val="ListParagraph"/>
        <w:numPr>
          <w:ilvl w:val="0"/>
          <w:numId w:val="2"/>
        </w:numPr>
        <w:spacing w:before="60" w:after="60"/>
      </w:pPr>
      <w:r>
        <w:rPr>
          <w:rFonts w:ascii="Arial" w:cs="Arial" w:eastAsia="Arial" w:hAnsi="Arial"/>
          <w:color w:val="000000"/>
          <w:sz w:val="22"/>
          <w:szCs w:val="22"/>
        </w:rPr>
        <w:t xml:space="preserve">La cadena de evidencias completa: cada señal con su fuente, su URL cuando existe, y su confianza individual.</w:t>
      </w:r>
    </w:p>
    <w:p>
      <w:pPr>
        <w:pStyle w:val="ListParagraph"/>
        <w:numPr>
          <w:ilvl w:val="0"/>
          <w:numId w:val="2"/>
        </w:numPr>
        <w:spacing w:before="60" w:after="60"/>
      </w:pPr>
      <w:r>
        <w:rPr>
          <w:rFonts w:ascii="Arial" w:cs="Arial" w:eastAsia="Arial" w:hAnsi="Arial"/>
          <w:color w:val="000000"/>
          <w:sz w:val="22"/>
          <w:szCs w:val="22"/>
        </w:rPr>
        <w:t xml:space="preserve">La narrativa explicativa generada por el agente: primero las evidencias deterministas del motor de reglas, luego el análisis contextual del LLM para los casos ambiguos.</w:t>
      </w:r>
    </w:p>
    <w:p>
      <w:pPr>
        <w:pStyle w:val="ListParagraph"/>
        <w:numPr>
          <w:ilvl w:val="0"/>
          <w:numId w:val="2"/>
        </w:numPr>
        <w:spacing w:before="60" w:after="60"/>
      </w:pPr>
      <w:r>
        <w:rPr>
          <w:rFonts w:ascii="Arial" w:cs="Arial" w:eastAsia="Arial" w:hAnsi="Arial"/>
          <w:color w:val="000000"/>
          <w:sz w:val="22"/>
          <w:szCs w:val="22"/>
        </w:rPr>
        <w:t xml:space="preserve">La recomendación del agente: confirmar, descartar o investigar más.</w:t>
      </w:r>
    </w:p>
    <w:p>
      <w:pPr>
        <w:pStyle w:val="ListParagraph"/>
        <w:numPr>
          <w:ilvl w:val="0"/>
          <w:numId w:val="2"/>
        </w:numPr>
        <w:spacing w:before="60" w:after="60"/>
      </w:pPr>
      <w:r>
        <w:rPr>
          <w:rFonts w:ascii="Arial" w:cs="Arial" w:eastAsia="Arial" w:hAnsi="Arial"/>
          <w:color w:val="000000"/>
          <w:sz w:val="22"/>
          <w:szCs w:val="22"/>
        </w:rPr>
        <w:t xml:space="preserve">Las concesiones o procesos concretos vinculados a ese hallazgo.</w:t>
      </w:r>
    </w:p>
    <w:p>
      <w:pPr>
        <w:spacing w:before="80" w:after="80"/>
      </w:pPr>
      <w:r>
        <w:rPr>
          <w:rFonts w:ascii="Arial" w:cs="Arial" w:eastAsia="Arial" w:hAnsi="Arial"/>
          <w:sz w:val="22"/>
          <w:szCs w:val="22"/>
        </w:rPr>
        <w:t xml:space="preserve"/>
      </w:r>
    </w:p>
    <w:p>
      <w:pPr>
        <w:shd w:fill="D6E4F0" w:val="clear"/>
        <w:spacing w:before="160" w:after="160"/>
        <w:ind w:left="360" w:right="360"/>
      </w:pPr>
      <w:r>
        <w:rPr>
          <w:rFonts w:ascii="Arial" w:cs="Arial" w:eastAsia="Arial" w:hAnsi="Arial"/>
          <w:i/>
          <w:iCs/>
          <w:color w:val="1F4E79"/>
          <w:sz w:val="20"/>
          <w:szCs w:val="20"/>
        </w:rPr>
        <w:t xml:space="preserve">Ejemplo real: «Certeza 91% — Nivel 2. [NIF] El NIF G28195754 corresponde a una asociación. [RER] Coincidencia en el Registro de Entidades Religiosas: Cáritas Española (similitud 0.97), vinculada a la Conferencia Episcopal Española. [LÉXICO] El nombre contiene cáritas, término de alta asociación. Análisis adicional: Cáritas Española es el brazo oficial de acción social de la Iglesia Católica en España, inscrito en el RER desde 1978.»</w:t>
      </w:r>
    </w:p>
    <w:p>
      <w:pPr>
        <w:pStyle w:val="Heading2"/>
        <w:pBdr>
          <w:bottom w:val="single" w:color="2E75B6" w:sz="4" w:space="4"/>
        </w:pBdr>
        <w:spacing w:before="320" w:after="160"/>
      </w:pPr>
      <w:r>
        <w:rPr>
          <w:rFonts w:ascii="Arial" w:cs="Arial" w:eastAsia="Arial" w:hAnsi="Arial"/>
          <w:b/>
          <w:bCs/>
          <w:color w:val="2E75B6"/>
          <w:sz w:val="28"/>
          <w:szCs w:val="28"/>
        </w:rPr>
        <w:t xml:space="preserve">6.3  El Rule Editor</w:t>
      </w:r>
    </w:p>
    <w:p>
      <w:pPr>
        <w:spacing w:before="80" w:after="100"/>
      </w:pPr>
      <w:r>
        <w:rPr>
          <w:rFonts w:ascii="Arial" w:cs="Arial" w:eastAsia="Arial" w:hAnsi="Arial"/>
          <w:sz w:val="22"/>
          <w:szCs w:val="22"/>
        </w:rPr>
        <w:t xml:space="preserve">El Rule Editor es una interfaz Gradio que arranca dentro del banco de trabajo. Permite al analista crear y refinar reglas de vigilancia con:</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Formulario visual de condiciones: campo, operador, valor — sin código.</w:t>
      </w:r>
    </w:p>
    <w:p>
      <w:pPr>
        <w:pStyle w:val="ListParagraph"/>
        <w:numPr>
          <w:ilvl w:val="0"/>
          <w:numId w:val="2"/>
        </w:numPr>
        <w:spacing w:before="60" w:after="60"/>
      </w:pPr>
      <w:r>
        <w:rPr>
          <w:rFonts w:ascii="Arial" w:cs="Arial" w:eastAsia="Arial" w:hAnsi="Arial"/>
          <w:color w:val="000000"/>
          <w:sz w:val="22"/>
          <w:szCs w:val="22"/>
        </w:rPr>
        <w:t xml:space="preserve">Conectores lógicos AND, OR, NOT y THRESHOLD (al menos N de M condiciones).</w:t>
      </w:r>
    </w:p>
    <w:p>
      <w:pPr>
        <w:pStyle w:val="ListParagraph"/>
        <w:numPr>
          <w:ilvl w:val="0"/>
          <w:numId w:val="2"/>
        </w:numPr>
        <w:spacing w:before="60" w:after="60"/>
      </w:pPr>
      <w:r>
        <w:rPr>
          <w:rFonts w:ascii="Arial" w:cs="Arial" w:eastAsia="Arial" w:hAnsi="Arial"/>
          <w:color w:val="000000"/>
          <w:sz w:val="22"/>
          <w:szCs w:val="22"/>
        </w:rPr>
        <w:t xml:space="preserve">Preview en tiempo real: antes de activar una regla, el analista ve cuántos registros del lote actual la activarían y puede detectar falsos positivos antes de que contaminen los resultados.</w:t>
      </w:r>
    </w:p>
    <w:p>
      <w:pPr>
        <w:pStyle w:val="ListParagraph"/>
        <w:numPr>
          <w:ilvl w:val="0"/>
          <w:numId w:val="2"/>
        </w:numPr>
        <w:spacing w:before="60" w:after="60"/>
      </w:pPr>
      <w:r>
        <w:rPr>
          <w:rFonts w:ascii="Arial" w:cs="Arial" w:eastAsia="Arial" w:hAnsi="Arial"/>
          <w:color w:val="000000"/>
          <w:sz w:val="22"/>
          <w:szCs w:val="22"/>
        </w:rPr>
        <w:t xml:space="preserve">Gestión de vocabulario: listas de términos de alta y media asociación, y exclusiones para evitar falsos positivos sistemáticos.</w:t>
      </w:r>
    </w:p>
    <w:p>
      <w:pPr>
        <w:pStyle w:val="ListParagraph"/>
        <w:numPr>
          <w:ilvl w:val="0"/>
          <w:numId w:val="2"/>
        </w:numPr>
        <w:spacing w:before="60" w:after="60"/>
      </w:pPr>
      <w:r>
        <w:rPr>
          <w:rFonts w:ascii="Arial" w:cs="Arial" w:eastAsia="Arial" w:hAnsi="Arial"/>
          <w:color w:val="000000"/>
          <w:sz w:val="22"/>
          <w:szCs w:val="22"/>
        </w:rPr>
        <w:t xml:space="preserve">Historial de versiones del WatchProfile con comparación y reversión.</w:t>
      </w:r>
    </w:p>
    <w:p>
      <w:r>
        <w:br w:type="page"/>
      </w:r>
    </w:p>
    <w:p>
      <w:pPr>
        <w:pStyle w:val="Heading1"/>
        <w:spacing w:before="440" w:after="200"/>
      </w:pPr>
      <w:r>
        <w:rPr>
          <w:rFonts w:ascii="Arial" w:cs="Arial" w:eastAsia="Arial" w:hAnsi="Arial"/>
          <w:b/>
          <w:bCs/>
          <w:color w:val="1F4E79"/>
          <w:sz w:val="40"/>
          <w:szCs w:val="40"/>
        </w:rPr>
        <w:t xml:space="preserve">7. El agente como explorador de fuentes</w:t>
      </w:r>
    </w:p>
    <w:p>
      <w:pPr>
        <w:spacing w:before="80" w:after="100"/>
      </w:pPr>
      <w:r>
        <w:rPr>
          <w:rFonts w:ascii="Arial" w:cs="Arial" w:eastAsia="Arial" w:hAnsi="Arial"/>
          <w:sz w:val="22"/>
          <w:szCs w:val="22"/>
        </w:rPr>
        <w:t xml:space="preserve">Una de las capacidades más distintivas de GrantsSurveyor es que el agente no se limita a consumir las fuentes ya disponibles. Ante una nueva pregunta de vigilancia, explora activamente qué fuentes de información podrían ser relevantes y evalúa su estado de accesibilidad.</w:t>
      </w:r>
    </w:p>
    <w:p>
      <w:pPr>
        <w:pStyle w:val="Heading2"/>
        <w:pBdr>
          <w:bottom w:val="single" w:color="2E75B6" w:sz="4" w:space="4"/>
        </w:pBdr>
        <w:spacing w:before="320" w:after="160"/>
      </w:pPr>
      <w:r>
        <w:rPr>
          <w:rFonts w:ascii="Arial" w:cs="Arial" w:eastAsia="Arial" w:hAnsi="Arial"/>
          <w:b/>
          <w:bCs/>
          <w:color w:val="2E75B6"/>
          <w:sz w:val="28"/>
          <w:szCs w:val="28"/>
        </w:rPr>
        <w:t xml:space="preserve">7.1  Las cuatro categorías de fuentes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Estado</w:t>
            </w:r>
          </w:p>
        </w:tc>
        <w:tc>
          <w:tcPr>
            <w:tcW w:type="dxa" w:w="66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Qué significa y qué hace el agente</w:t>
            </w:r>
          </w:p>
        </w:tc>
      </w:tr>
      <w:tr>
        <w:tc>
          <w:tcPr>
            <w:tcW w:type="dxa" w:w="2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rFonts w:ascii="Arial" w:cs="Arial" w:eastAsia="Arial" w:hAnsi="Arial"/>
                <w:b/>
                <w:bCs/>
                <w:color w:val="1F4E79"/>
                <w:sz w:val="19"/>
                <w:szCs w:val="19"/>
              </w:rPr>
              <w:t xml:space="preserve">✅ Disponible y activo</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Resource ya definido en OpenDataManager con Fetcher funcional. El analista puede activarlo como fuente de la investigación inmediatamente.</w:t>
            </w:r>
          </w:p>
        </w:tc>
      </w:tr>
      <w:tr>
        <w:tc>
          <w:tcPr>
            <w:tcW w:type="dxa" w:w="24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r>
              <w:rPr>
                <w:rFonts w:ascii="Arial" w:cs="Arial" w:eastAsia="Arial" w:hAnsi="Arial"/>
                <w:b/>
                <w:bCs/>
                <w:color w:val="1F4E79"/>
                <w:sz w:val="19"/>
                <w:szCs w:val="19"/>
              </w:rPr>
              <w:t xml:space="preserve">⚙️ Disponible, requiere configuración</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tipo de Fetcher existe en OpenDataManager pero el Resource concreto no está definido. El agente proporciona los parámetros exactos (URL, autenticación, formato) para que un técnico lo registre.</w:t>
            </w:r>
          </w:p>
        </w:tc>
      </w:tr>
      <w:tr>
        <w:tc>
          <w:tcPr>
            <w:tcW w:type="dxa" w:w="2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1F4E79"/>
                <w:sz w:val="19"/>
                <w:szCs w:val="19"/>
              </w:rPr>
              <w:t xml:space="preserve">🔧 Requiere nuevo Fetcher</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La fuente existe y es pública pero no hay Fetcher compatible. El agente genera el código del Fetcher siguiendo el patrón BaseFetcher de OpenDataManager: clase con fetch(), parse() y normalize(), definición de FetcherParams, e instrucciones de registro.</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19"/>
                <w:szCs w:val="19"/>
              </w:rPr>
              <w:t xml:space="preserve">🔒 No accesible automáticamente</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Fuentes relevantes sin acceso programable: registros no digitalizados, datos bajo petición formal, acceso privado. Se listan como información para el analista.</w:t>
            </w:r>
          </w:p>
        </w:tc>
      </w:tr>
    </w:tbl>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7.2  Generación de Fetchers por el agente</w:t>
      </w:r>
    </w:p>
    <w:p>
      <w:pPr>
        <w:spacing w:before="80" w:after="100"/>
      </w:pPr>
      <w:r>
        <w:rPr>
          <w:rFonts w:ascii="Arial" w:cs="Arial" w:eastAsia="Arial" w:hAnsi="Arial"/>
          <w:sz w:val="22"/>
          <w:szCs w:val="22"/>
        </w:rPr>
        <w:t xml:space="preserve">Cuando el agente detecta una fuente relevante sin Fetcher en OpenDataManager, puede generar una propuesta de código lista para revisión técnica. El código generado:</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Hereda de BaseFetcher de OpenDataManager e implementa los tres métodos requeridos.</w:t>
      </w:r>
    </w:p>
    <w:p>
      <w:pPr>
        <w:pStyle w:val="ListParagraph"/>
        <w:numPr>
          <w:ilvl w:val="0"/>
          <w:numId w:val="2"/>
        </w:numPr>
        <w:spacing w:before="60" w:after="60"/>
      </w:pPr>
      <w:r>
        <w:rPr>
          <w:rFonts w:ascii="Arial" w:cs="Arial" w:eastAsia="Arial" w:hAnsi="Arial"/>
          <w:color w:val="000000"/>
          <w:sz w:val="22"/>
          <w:szCs w:val="22"/>
        </w:rPr>
        <w:t xml:space="preserve">Define los FetcherParams necesarios con tipos y valores por defecto.</w:t>
      </w:r>
    </w:p>
    <w:p>
      <w:pPr>
        <w:pStyle w:val="ListParagraph"/>
        <w:numPr>
          <w:ilvl w:val="0"/>
          <w:numId w:val="2"/>
        </w:numPr>
        <w:spacing w:before="60" w:after="60"/>
      </w:pPr>
      <w:r>
        <w:rPr>
          <w:rFonts w:ascii="Arial" w:cs="Arial" w:eastAsia="Arial" w:hAnsi="Arial"/>
          <w:color w:val="000000"/>
          <w:sz w:val="22"/>
          <w:szCs w:val="22"/>
        </w:rPr>
        <w:t xml:space="preserve">Incluye gestión de paginación, reintentos y errores según el tipo de fuente.</w:t>
      </w:r>
    </w:p>
    <w:p>
      <w:pPr>
        <w:pStyle w:val="ListParagraph"/>
        <w:numPr>
          <w:ilvl w:val="0"/>
          <w:numId w:val="2"/>
        </w:numPr>
        <w:spacing w:before="60" w:after="60"/>
      </w:pPr>
      <w:r>
        <w:rPr>
          <w:rFonts w:ascii="Arial" w:cs="Arial" w:eastAsia="Arial" w:hAnsi="Arial"/>
          <w:color w:val="000000"/>
          <w:sz w:val="22"/>
          <w:szCs w:val="22"/>
        </w:rPr>
        <w:t xml:space="preserve">Añade las instrucciones SQL para registrar el Fetcher y el Resource en OpenDataManager.</w:t>
      </w:r>
    </w:p>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La decisión de registrar el Fetcher generado en OpenDataManager siempre recae en un técnico humano. El agente propone; el técnico valida, prueba y despliega.</w:t>
      </w:r>
    </w:p>
    <w:p>
      <w:pPr>
        <w:spacing w:before="80" w:after="80"/>
      </w:pPr>
      <w:r>
        <w:rPr>
          <w:rFonts w:ascii="Arial" w:cs="Arial" w:eastAsia="Arial" w:hAnsi="Arial"/>
          <w:sz w:val="22"/>
          <w:szCs w:val="22"/>
        </w:rPr>
        <w:t xml:space="preserve"/>
      </w:r>
    </w:p>
    <w:p>
      <w:pPr>
        <w:shd w:fill="EDE7F6" w:val="clear"/>
        <w:spacing w:before="160" w:after="160"/>
        <w:ind w:left="360" w:right="360"/>
      </w:pPr>
      <w:r>
        <w:rPr>
          <w:rFonts w:ascii="Arial" w:cs="Arial" w:eastAsia="Arial" w:hAnsi="Arial"/>
          <w:i/>
          <w:iCs/>
          <w:color w:val="5C2D91"/>
          <w:sz w:val="20"/>
          <w:szCs w:val="20"/>
        </w:rPr>
        <w:t xml:space="preserve">◆ Este mecanismo convierte a GrantsSurveyor en un sistema que se autoabastece de fuentes de datos a medida que las necesita, ampliando progresivamente la cobertura de OpenDataManager sin intervención técnica proactiva.</w:t>
      </w:r>
    </w:p>
    <w:p>
      <w:r>
        <w:br w:type="page"/>
      </w:r>
    </w:p>
    <w:p>
      <w:pPr>
        <w:pStyle w:val="Heading1"/>
        <w:spacing w:before="440" w:after="200"/>
      </w:pPr>
      <w:r>
        <w:rPr>
          <w:rFonts w:ascii="Arial" w:cs="Arial" w:eastAsia="Arial" w:hAnsi="Arial"/>
          <w:b/>
          <w:bCs/>
          <w:color w:val="1F4E79"/>
          <w:sz w:val="40"/>
          <w:szCs w:val="40"/>
        </w:rPr>
        <w:t xml:space="preserve">8. Casos de uso de la plataforma</w:t>
      </w:r>
    </w:p>
    <w:p>
      <w:pPr>
        <w:spacing w:before="80" w:after="100"/>
      </w:pPr>
      <w:r>
        <w:rPr>
          <w:rFonts w:ascii="Arial" w:cs="Arial" w:eastAsia="Arial" w:hAnsi="Arial"/>
          <w:sz w:val="22"/>
          <w:szCs w:val="22"/>
        </w:rPr>
        <w:t xml:space="preserve">El mismo sistema, sin cambios de código, soporta investigaciones de naturaleza completamente diferente. La pregunta de vigilancia y el WatchProfile son los únicos elementos que cambian.</w:t>
      </w:r>
    </w:p>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8.1  Subvenciones a entidades religiosas</w:t>
      </w:r>
    </w:p>
    <w:p>
      <w:pPr>
        <w:pStyle w:val="ListParagraph"/>
        <w:numPr>
          <w:ilvl w:val="0"/>
          <w:numId w:val="2"/>
        </w:numPr>
        <w:spacing w:before="60" w:after="60"/>
      </w:pPr>
      <w:r>
        <w:rPr>
          <w:rFonts w:ascii="Arial" w:cs="Arial" w:eastAsia="Arial" w:hAnsi="Arial"/>
          <w:b/>
          <w:bCs/>
          <w:sz w:val="22"/>
          <w:szCs w:val="22"/>
        </w:rPr>
        <w:t xml:space="preserve">Pregunta: </w:t>
      </w:r>
      <w:r>
        <w:rPr>
          <w:rFonts w:ascii="Arial" w:cs="Arial" w:eastAsia="Arial" w:hAnsi="Arial"/>
          <w:sz w:val="22"/>
          <w:szCs w:val="22"/>
        </w:rPr>
        <w:t xml:space="preserve">¿Qué organizaciones de naturaleza religiosa reciben subvenciones públicas en España, de qué administraciones, por qué importes y bajo qué base legal?</w:t>
      </w:r>
    </w:p>
    <w:p>
      <w:pPr>
        <w:pStyle w:val="ListParagraph"/>
        <w:numPr>
          <w:ilvl w:val="0"/>
          <w:numId w:val="2"/>
        </w:numPr>
        <w:spacing w:before="60" w:after="60"/>
      </w:pPr>
      <w:r>
        <w:rPr>
          <w:rFonts w:ascii="Arial" w:cs="Arial" w:eastAsia="Arial" w:hAnsi="Arial"/>
          <w:b/>
          <w:bCs/>
          <w:sz w:val="22"/>
          <w:szCs w:val="22"/>
        </w:rPr>
        <w:t xml:space="preserve">Fuentes ODM: </w:t>
      </w:r>
      <w:r>
        <w:rPr>
          <w:rFonts w:ascii="Arial" w:cs="Arial" w:eastAsia="Arial" w:hAnsi="Arial"/>
          <w:sz w:val="22"/>
          <w:szCs w:val="22"/>
        </w:rPr>
        <w:t xml:space="preserve">bdns_concesiones [existente], rer_entidades [nuevo].</w:t>
      </w:r>
    </w:p>
    <w:p>
      <w:pPr>
        <w:pStyle w:val="ListParagraph"/>
        <w:numPr>
          <w:ilvl w:val="0"/>
          <w:numId w:val="2"/>
        </w:numPr>
        <w:spacing w:before="60" w:after="60"/>
      </w:pPr>
      <w:r>
        <w:rPr>
          <w:rFonts w:ascii="Arial" w:cs="Arial" w:eastAsia="Arial" w:hAnsi="Arial"/>
          <w:b/>
          <w:bCs/>
          <w:sz w:val="22"/>
          <w:szCs w:val="22"/>
        </w:rPr>
        <w:t xml:space="preserve">Patrón del grafo: </w:t>
      </w:r>
      <w:r>
        <w:rPr>
          <w:rFonts w:ascii="Arial" w:cs="Arial" w:eastAsia="Arial" w:hAnsi="Arial"/>
          <w:sz w:val="22"/>
          <w:szCs w:val="22"/>
        </w:rPr>
        <w:t xml:space="preserve">Actor (entidad religiosa) → PARTICIPA_EN con rol=beneficiario → Proceso (concesión BDNS).</w:t>
      </w:r>
    </w:p>
    <w:p>
      <w:pPr>
        <w:pStyle w:val="ListParagraph"/>
        <w:numPr>
          <w:ilvl w:val="0"/>
          <w:numId w:val="2"/>
        </w:numPr>
        <w:spacing w:before="60" w:after="60"/>
      </w:pPr>
      <w:r>
        <w:rPr>
          <w:rFonts w:ascii="Arial" w:cs="Arial" w:eastAsia="Arial" w:hAnsi="Arial"/>
          <w:b/>
          <w:bCs/>
          <w:sz w:val="22"/>
          <w:szCs w:val="22"/>
        </w:rPr>
        <w:t xml:space="preserve">Señal principal: </w:t>
      </w:r>
      <w:r>
        <w:rPr>
          <w:rFonts w:ascii="Arial" w:cs="Arial" w:eastAsia="Arial" w:hAnsi="Arial"/>
          <w:sz w:val="22"/>
          <w:szCs w:val="22"/>
        </w:rPr>
        <w:t xml:space="preserve">NIF empieza por R — certeza estructural nivel 1.</w:t>
      </w:r>
    </w:p>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8.2  Venta de inmuebles de origen religioso</w:t>
      </w:r>
    </w:p>
    <w:p>
      <w:pPr>
        <w:pStyle w:val="ListParagraph"/>
        <w:numPr>
          <w:ilvl w:val="0"/>
          <w:numId w:val="2"/>
        </w:numPr>
        <w:spacing w:before="60" w:after="60"/>
      </w:pPr>
      <w:r>
        <w:rPr>
          <w:rFonts w:ascii="Arial" w:cs="Arial" w:eastAsia="Arial" w:hAnsi="Arial"/>
          <w:b/>
          <w:bCs/>
          <w:sz w:val="22"/>
          <w:szCs w:val="22"/>
        </w:rPr>
        <w:t xml:space="preserve">Pregunta: </w:t>
      </w:r>
      <w:r>
        <w:rPr>
          <w:rFonts w:ascii="Arial" w:cs="Arial" w:eastAsia="Arial" w:hAnsi="Arial"/>
          <w:sz w:val="22"/>
          <w:szCs w:val="22"/>
        </w:rPr>
        <w:t xml:space="preserve">¿Están las entidades religiosas vendiendo patrimonio inmobiliario que previamente recibió subvenciones públicas para su conservación o rehabilitación?</w:t>
      </w:r>
    </w:p>
    <w:p>
      <w:pPr>
        <w:pStyle w:val="ListParagraph"/>
        <w:numPr>
          <w:ilvl w:val="0"/>
          <w:numId w:val="2"/>
        </w:numPr>
        <w:spacing w:before="60" w:after="60"/>
      </w:pPr>
      <w:r>
        <w:rPr>
          <w:rFonts w:ascii="Arial" w:cs="Arial" w:eastAsia="Arial" w:hAnsi="Arial"/>
          <w:b/>
          <w:bCs/>
          <w:sz w:val="22"/>
          <w:szCs w:val="22"/>
        </w:rPr>
        <w:t xml:space="preserve">Fuentes ODM: </w:t>
      </w:r>
      <w:r>
        <w:rPr>
          <w:rFonts w:ascii="Arial" w:cs="Arial" w:eastAsia="Arial" w:hAnsi="Arial"/>
          <w:sz w:val="22"/>
          <w:szCs w:val="22"/>
        </w:rPr>
        <w:t xml:space="preserve">bdns_concesiones [existente], rer_entidades [nuevo], catastro_titularidad [nuevo — requiere configuración de Fetcher REST con API de Catastro].</w:t>
      </w:r>
    </w:p>
    <w:p>
      <w:pPr>
        <w:pStyle w:val="ListParagraph"/>
        <w:numPr>
          <w:ilvl w:val="0"/>
          <w:numId w:val="2"/>
        </w:numPr>
        <w:spacing w:before="60" w:after="60"/>
      </w:pPr>
      <w:r>
        <w:rPr>
          <w:rFonts w:ascii="Arial" w:cs="Arial" w:eastAsia="Arial" w:hAnsi="Arial"/>
          <w:b/>
          <w:bCs/>
          <w:sz w:val="22"/>
          <w:szCs w:val="22"/>
        </w:rPr>
        <w:t xml:space="preserve">Patrón del grafo: </w:t>
      </w:r>
      <w:r>
        <w:rPr>
          <w:rFonts w:ascii="Arial" w:cs="Arial" w:eastAsia="Arial" w:hAnsi="Arial"/>
          <w:sz w:val="22"/>
          <w:szCs w:val="22"/>
        </w:rPr>
        <w:t xml:space="preserve">Actor (entidad religiosa) → CONTROLA → Activo (inmueble, ref. catastral) → TRANSFIERE en → Proceso (compraventa). Cruce con Proceso (concesión BDNS) para detectar subvenciones previas sobre el mismo inmueble.</w:t>
      </w:r>
    </w:p>
    <w:p>
      <w:pPr>
        <w:pStyle w:val="ListParagraph"/>
        <w:numPr>
          <w:ilvl w:val="0"/>
          <w:numId w:val="2"/>
        </w:numPr>
        <w:spacing w:before="60" w:after="60"/>
      </w:pPr>
      <w:r>
        <w:rPr>
          <w:rFonts w:ascii="Arial" w:cs="Arial" w:eastAsia="Arial" w:hAnsi="Arial"/>
          <w:b/>
          <w:bCs/>
          <w:sz w:val="22"/>
          <w:szCs w:val="22"/>
        </w:rPr>
        <w:t xml:space="preserve">Señal principal: </w:t>
      </w:r>
      <w:r>
        <w:rPr>
          <w:rFonts w:ascii="Arial" w:cs="Arial" w:eastAsia="Arial" w:hAnsi="Arial"/>
          <w:sz w:val="22"/>
          <w:szCs w:val="22"/>
        </w:rPr>
        <w:t xml:space="preserve">Actor confirmado como religioso con Activo en proceso de transmisión patrimonial.</w:t>
      </w:r>
    </w:p>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8.3  Contratos públicos a empresas vinculadas</w:t>
      </w:r>
    </w:p>
    <w:p>
      <w:pPr>
        <w:pStyle w:val="ListParagraph"/>
        <w:numPr>
          <w:ilvl w:val="0"/>
          <w:numId w:val="2"/>
        </w:numPr>
        <w:spacing w:before="60" w:after="60"/>
      </w:pPr>
      <w:r>
        <w:rPr>
          <w:rFonts w:ascii="Arial" w:cs="Arial" w:eastAsia="Arial" w:hAnsi="Arial"/>
          <w:b/>
          <w:bCs/>
          <w:sz w:val="22"/>
          <w:szCs w:val="22"/>
        </w:rPr>
        <w:t xml:space="preserve">Pregunta: </w:t>
      </w:r>
      <w:r>
        <w:rPr>
          <w:rFonts w:ascii="Arial" w:cs="Arial" w:eastAsia="Arial" w:hAnsi="Arial"/>
          <w:sz w:val="22"/>
          <w:szCs w:val="22"/>
        </w:rPr>
        <w:t xml:space="preserve">¿Existen vínculos entre cargos públicos y empresas que reciben contratos de las administraciones donde ejercen?</w:t>
      </w:r>
    </w:p>
    <w:p>
      <w:pPr>
        <w:pStyle w:val="ListParagraph"/>
        <w:numPr>
          <w:ilvl w:val="0"/>
          <w:numId w:val="2"/>
        </w:numPr>
        <w:spacing w:before="60" w:after="60"/>
      </w:pPr>
      <w:r>
        <w:rPr>
          <w:rFonts w:ascii="Arial" w:cs="Arial" w:eastAsia="Arial" w:hAnsi="Arial"/>
          <w:b/>
          <w:bCs/>
          <w:sz w:val="22"/>
          <w:szCs w:val="22"/>
        </w:rPr>
        <w:t xml:space="preserve">Fuentes ODM: </w:t>
      </w:r>
      <w:r>
        <w:rPr>
          <w:rFonts w:ascii="Arial" w:cs="Arial" w:eastAsia="Arial" w:hAnsi="Arial"/>
          <w:sz w:val="22"/>
          <w:szCs w:val="22"/>
        </w:rPr>
        <w:t xml:space="preserve">place_contratos_menores [nuevo], boe_nombramientos [nuevo — requiere Fetcher BOE especializado].</w:t>
      </w:r>
    </w:p>
    <w:p>
      <w:pPr>
        <w:pStyle w:val="ListParagraph"/>
        <w:numPr>
          <w:ilvl w:val="0"/>
          <w:numId w:val="2"/>
        </w:numPr>
        <w:spacing w:before="60" w:after="60"/>
      </w:pPr>
      <w:r>
        <w:rPr>
          <w:rFonts w:ascii="Arial" w:cs="Arial" w:eastAsia="Arial" w:hAnsi="Arial"/>
          <w:b/>
          <w:bCs/>
          <w:sz w:val="22"/>
          <w:szCs w:val="22"/>
        </w:rPr>
        <w:t xml:space="preserve">Patrón del grafo: </w:t>
      </w:r>
      <w:r>
        <w:rPr>
          <w:rFonts w:ascii="Arial" w:cs="Arial" w:eastAsia="Arial" w:hAnsi="Arial"/>
          <w:sz w:val="22"/>
          <w:szCs w:val="22"/>
        </w:rPr>
        <w:t xml:space="preserve">Actor (cargo público) → CONTROLA → Actor (empresa) → PARTICIPA_EN con rol=adjudicatario → Proceso (contrato público).</w:t>
      </w:r>
    </w:p>
    <w:p>
      <w:pPr>
        <w:pStyle w:val="ListParagraph"/>
        <w:numPr>
          <w:ilvl w:val="0"/>
          <w:numId w:val="2"/>
        </w:numPr>
        <w:spacing w:before="60" w:after="60"/>
      </w:pPr>
      <w:r>
        <w:rPr>
          <w:rFonts w:ascii="Arial" w:cs="Arial" w:eastAsia="Arial" w:hAnsi="Arial"/>
          <w:b/>
          <w:bCs/>
          <w:sz w:val="22"/>
          <w:szCs w:val="22"/>
        </w:rPr>
        <w:t xml:space="preserve">Señal principal: </w:t>
      </w:r>
      <w:r>
        <w:rPr>
          <w:rFonts w:ascii="Arial" w:cs="Arial" w:eastAsia="Arial" w:hAnsi="Arial"/>
          <w:sz w:val="22"/>
          <w:szCs w:val="22"/>
        </w:rPr>
        <w:t xml:space="preserve">Relación CONTROLA entre Actor confirmado como cargo público y Actor beneficiario de contratos de la misma administración.</w:t>
      </w:r>
    </w:p>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8.4  Subvenciones a medios de comunicación</w:t>
      </w:r>
    </w:p>
    <w:p>
      <w:pPr>
        <w:pStyle w:val="ListParagraph"/>
        <w:numPr>
          <w:ilvl w:val="0"/>
          <w:numId w:val="2"/>
        </w:numPr>
        <w:spacing w:before="60" w:after="60"/>
      </w:pPr>
      <w:r>
        <w:rPr>
          <w:rFonts w:ascii="Arial" w:cs="Arial" w:eastAsia="Arial" w:hAnsi="Arial"/>
          <w:b/>
          <w:bCs/>
          <w:sz w:val="22"/>
          <w:szCs w:val="22"/>
        </w:rPr>
        <w:t xml:space="preserve">Pregunta: </w:t>
      </w:r>
      <w:r>
        <w:rPr>
          <w:rFonts w:ascii="Arial" w:cs="Arial" w:eastAsia="Arial" w:hAnsi="Arial"/>
          <w:sz w:val="22"/>
          <w:szCs w:val="22"/>
        </w:rPr>
        <w:t xml:space="preserve">¿Qué medios de comunicación reciben ayudas públicas, de qué administraciones y en qué comunidades autónomas?</w:t>
      </w:r>
    </w:p>
    <w:p>
      <w:pPr>
        <w:pStyle w:val="ListParagraph"/>
        <w:numPr>
          <w:ilvl w:val="0"/>
          <w:numId w:val="2"/>
        </w:numPr>
        <w:spacing w:before="60" w:after="60"/>
      </w:pPr>
      <w:r>
        <w:rPr>
          <w:rFonts w:ascii="Arial" w:cs="Arial" w:eastAsia="Arial" w:hAnsi="Arial"/>
          <w:b/>
          <w:bCs/>
          <w:sz w:val="22"/>
          <w:szCs w:val="22"/>
        </w:rPr>
        <w:t xml:space="preserve">Fuentes ODM: </w:t>
      </w:r>
      <w:r>
        <w:rPr>
          <w:rFonts w:ascii="Arial" w:cs="Arial" w:eastAsia="Arial" w:hAnsi="Arial"/>
          <w:sz w:val="22"/>
          <w:szCs w:val="22"/>
        </w:rPr>
        <w:t xml:space="preserve">bdns_concesiones [existente], registro_medios_comunicacion [nuevo si existe].</w:t>
      </w:r>
    </w:p>
    <w:p>
      <w:pPr>
        <w:pStyle w:val="ListParagraph"/>
        <w:numPr>
          <w:ilvl w:val="0"/>
          <w:numId w:val="2"/>
        </w:numPr>
        <w:spacing w:before="60" w:after="60"/>
      </w:pPr>
      <w:r>
        <w:rPr>
          <w:rFonts w:ascii="Arial" w:cs="Arial" w:eastAsia="Arial" w:hAnsi="Arial"/>
          <w:b/>
          <w:bCs/>
          <w:sz w:val="22"/>
          <w:szCs w:val="22"/>
        </w:rPr>
        <w:t xml:space="preserve">Patrón del grafo: </w:t>
      </w:r>
      <w:r>
        <w:rPr>
          <w:rFonts w:ascii="Arial" w:cs="Arial" w:eastAsia="Arial" w:hAnsi="Arial"/>
          <w:sz w:val="22"/>
          <w:szCs w:val="22"/>
        </w:rPr>
        <w:t xml:space="preserve">Actor (medio de comunicación) → PARTICIPA_EN con rol=beneficiario → Proceso (concesión BDNS). Agrupación por CCAA y órgano concedente.</w:t>
      </w:r>
    </w:p>
    <w:p>
      <w:r>
        <w:br w:type="page"/>
      </w:r>
    </w:p>
    <w:p>
      <w:pPr>
        <w:pStyle w:val="Heading1"/>
        <w:spacing w:before="440" w:after="200"/>
      </w:pPr>
      <w:r>
        <w:rPr>
          <w:rFonts w:ascii="Arial" w:cs="Arial" w:eastAsia="Arial" w:hAnsi="Arial"/>
          <w:b/>
          <w:bCs/>
          <w:color w:val="1F4E79"/>
          <w:sz w:val="40"/>
          <w:szCs w:val="40"/>
        </w:rPr>
        <w:t xml:space="preserve">9. Arquitectura técnica</w:t>
      </w:r>
    </w:p>
    <w:p>
      <w:pPr>
        <w:pStyle w:val="Heading2"/>
        <w:pBdr>
          <w:bottom w:val="single" w:color="2E75B6" w:sz="4" w:space="4"/>
        </w:pBdr>
        <w:spacing w:before="320" w:after="160"/>
      </w:pPr>
      <w:r>
        <w:rPr>
          <w:rFonts w:ascii="Arial" w:cs="Arial" w:eastAsia="Arial" w:hAnsi="Arial"/>
          <w:b/>
          <w:bCs/>
          <w:color w:val="2E75B6"/>
          <w:sz w:val="28"/>
          <w:szCs w:val="28"/>
        </w:rPr>
        <w:t xml:space="preserve">9.1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Sistema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Componente</w:t>
            </w:r>
          </w:p>
        </w:tc>
        <w:tc>
          <w:tcPr>
            <w:tcW w:type="dxa" w:w="50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Tecnología</w:t>
            </w:r>
          </w:p>
        </w:tc>
      </w:tr>
      <w:tr>
        <w:tc>
          <w:tcPr>
            <w:tcW w:type="dxa" w:w="16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006D6D"/>
                <w:sz w:val="19"/>
                <w:szCs w:val="19"/>
              </w:rPr>
              <w:t xml:space="preserve">OpenDataManager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Backend API</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FastAPI + Strawberry (GraphQL)</w:t>
            </w:r>
          </w:p>
        </w:tc>
      </w:tr>
      <w:tr>
        <w:tc>
          <w:tcPr>
            <w:tcW w:type="dxa" w:w="160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b/>
                <w:bCs/>
                <w:color w:val="006D6D"/>
                <w:sz w:val="19"/>
                <w:szCs w:val="19"/>
              </w:rPr>
              <w:t xml:space="preserve">OpenDataManager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Base de datos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PostgreSQL (schema opendata + core)</w:t>
            </w:r>
          </w:p>
        </w:tc>
      </w:tr>
      <w:tr>
        <w:tc>
          <w:tcPr>
            <w:tcW w:type="dxa" w:w="16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006D6D"/>
                <w:sz w:val="19"/>
                <w:szCs w:val="19"/>
              </w:rPr>
              <w:t xml:space="preserve">OpenDataManager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Migraciones</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Alembic</w:t>
            </w:r>
          </w:p>
        </w:tc>
      </w:tr>
      <w:tr>
        <w:tc>
          <w:tcPr>
            <w:tcW w:type="dxa" w:w="160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b/>
                <w:bCs/>
                <w:color w:val="006D6D"/>
                <w:sz w:val="19"/>
                <w:szCs w:val="19"/>
              </w:rPr>
              <w:t xml:space="preserve">OpenDataManager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Frontend</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Vue 3</w:t>
            </w:r>
          </w:p>
        </w:tc>
      </w:tr>
      <w:tr>
        <w:tc>
          <w:tcPr>
            <w:tcW w:type="dxa" w:w="16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bCs/>
                <w:color w:val="006D6D"/>
                <w:sz w:val="19"/>
                <w:szCs w:val="19"/>
              </w:rPr>
              <w:t xml:space="preserve">OpenDataManager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ETL</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Fetchers Python (BaseFetcher + dinámicos)</w:t>
            </w:r>
          </w:p>
        </w:tc>
      </w:tr>
      <w:tr>
        <w:tc>
          <w:tcPr>
            <w:tcW w:type="dxa" w:w="1600"/>
            <w:tcBorders>
              <w:top w:val="single" w:color="CCCCCC" w:sz="1"/>
              <w:left w:val="single" w:color="CCCCCC" w:sz="1"/>
              <w:bottom w:val="single" w:color="CCCCCC" w:sz="1"/>
              <w:right w:val="single" w:color="CCCCCC" w:sz="1"/>
            </w:tcBorders>
            <w:shd w:fill="EAF3FF"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Lenguaje</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Python 3.11+</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Modelos de datos</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Pydantic v2 (metadominio genérico)</w:t>
            </w:r>
          </w:p>
        </w:tc>
      </w:tr>
      <w:tr>
        <w:tc>
          <w:tcPr>
            <w:tcW w:type="dxa" w:w="1600"/>
            <w:tcBorders>
              <w:top w:val="single" w:color="CCCCCC" w:sz="1"/>
              <w:left w:val="single" w:color="CCCCCC" w:sz="1"/>
              <w:bottom w:val="single" w:color="CCCCCC" w:sz="1"/>
              <w:right w:val="single" w:color="CCCCCC" w:sz="1"/>
            </w:tcBorders>
            <w:shd w:fill="EAF3FF"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Persistencia</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SQLite + sqlite-vec (standalone)</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Motor de reglas</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Python puro, determinista</w:t>
            </w:r>
          </w:p>
        </w:tc>
      </w:tr>
      <w:tr>
        <w:tc>
          <w:tcPr>
            <w:tcW w:type="dxa" w:w="1600"/>
            <w:tcBorders>
              <w:top w:val="single" w:color="CCCCCC" w:sz="1"/>
              <w:left w:val="single" w:color="CCCCCC" w:sz="1"/>
              <w:bottom w:val="single" w:color="CCCCCC" w:sz="1"/>
              <w:right w:val="single" w:color="CCCCCC" w:sz="1"/>
            </w:tcBorders>
            <w:shd w:fill="EAF3FF"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IA</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Claude claude-sonnet-4-6 (Anthropic API)</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Banco de trabajo</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Jupyter + ipywidgets + Gradio</w:t>
            </w:r>
          </w:p>
        </w:tc>
      </w:tr>
      <w:tr>
        <w:tc>
          <w:tcPr>
            <w:tcW w:type="dxa" w:w="1600"/>
            <w:tcBorders>
              <w:top w:val="single" w:color="CCCCCC" w:sz="1"/>
              <w:left w:val="single" w:color="CCCCCC" w:sz="1"/>
              <w:bottom w:val="single" w:color="CCCCCC" w:sz="1"/>
              <w:right w:val="single" w:color="CCCCCC" w:sz="1"/>
            </w:tcBorders>
            <w:shd w:fill="EAF3FF"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Webhook receiver</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FastAPI (microservicio ligero)</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GrantsSurveyor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Cliente ODM</w:t>
            </w:r>
          </w:p>
        </w:tc>
        <w:tc>
          <w:tcPr>
            <w:tcW w:type="dxa" w:w="5026"/>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b w:val="false"/>
                <w:bCs w:val="false"/>
                <w:color w:val="595959"/>
                <w:sz w:val="19"/>
                <w:szCs w:val="19"/>
              </w:rPr>
              <w:t xml:space="preserve">httpx async + GraphQL</w:t>
            </w:r>
          </w:p>
        </w:tc>
      </w:tr>
    </w:tbl>
    <w:p>
      <w:pPr>
        <w:spacing w:before="80" w:after="80"/>
      </w:pPr>
      <w:r>
        <w:rPr>
          <w:rFonts w:ascii="Arial" w:cs="Arial" w:eastAsia="Arial" w:hAnsi="Arial"/>
          <w:sz w:val="22"/>
          <w:szCs w:val="22"/>
        </w:rP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9.2  Despliegue</w:t>
      </w:r>
    </w:p>
    <w:p>
      <w:pPr>
        <w:spacing w:before="80" w:after="100"/>
      </w:pPr>
      <w:r>
        <w:rPr>
          <w:rFonts w:ascii="Arial" w:cs="Arial" w:eastAsia="Arial" w:hAnsi="Arial"/>
          <w:sz w:val="22"/>
          <w:szCs w:val="22"/>
        </w:rPr>
        <w:t xml:space="preserve">Ambos sistemas son independientes y pueden desplegarse por separado:</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OpenDataManager: </w:t>
      </w:r>
      <w:r>
        <w:rPr>
          <w:rFonts w:ascii="Arial" w:cs="Arial" w:eastAsia="Arial" w:hAnsi="Arial"/>
          <w:sz w:val="22"/>
          <w:szCs w:val="22"/>
        </w:rPr>
        <w:t xml:space="preserve">servidor con PostgreSQL. Puede ser compartido por múltiples instancias de GrantsSurveyor de distintas organizaciones.</w:t>
      </w:r>
    </w:p>
    <w:p>
      <w:pPr>
        <w:pStyle w:val="ListParagraph"/>
        <w:numPr>
          <w:ilvl w:val="0"/>
          <w:numId w:val="2"/>
        </w:numPr>
        <w:spacing w:before="60" w:after="60"/>
      </w:pPr>
      <w:r>
        <w:rPr>
          <w:rFonts w:ascii="Arial" w:cs="Arial" w:eastAsia="Arial" w:hAnsi="Arial"/>
          <w:b/>
          <w:bCs/>
          <w:sz w:val="22"/>
          <w:szCs w:val="22"/>
        </w:rPr>
        <w:t xml:space="preserve">GrantsSurveyor: </w:t>
      </w:r>
      <w:r>
        <w:rPr>
          <w:rFonts w:ascii="Arial" w:cs="Arial" w:eastAsia="Arial" w:hAnsi="Arial"/>
          <w:sz w:val="22"/>
          <w:szCs w:val="22"/>
        </w:rPr>
        <w:t xml:space="preserve">standalone con SQLite. Sin servidor de base de datos. Un analista lo instala en su máquina local y lo conecta a la instancia compartida de OpenDataManager.</w:t>
      </w:r>
    </w:p>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La única dependencia de red de GrantsSurveyor es la conexión a OpenDataManager (GraphQL + webhook) y a la API de Anthropic.</w:t>
      </w:r>
    </w:p>
    <w:p>
      <w:r>
        <w:br w:type="page"/>
      </w:r>
    </w:p>
    <w:p>
      <w:pPr>
        <w:pStyle w:val="Heading1"/>
        <w:spacing w:before="440" w:after="200"/>
      </w:pPr>
      <w:r>
        <w:rPr>
          <w:rFonts w:ascii="Arial" w:cs="Arial" w:eastAsia="Arial" w:hAnsi="Arial"/>
          <w:b/>
          <w:bCs/>
          <w:color w:val="1F4E79"/>
          <w:sz w:val="40"/>
          <w:szCs w:val="40"/>
        </w:rPr>
        <w:t xml:space="preserve">10. Principios de diseño de la plataforma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Principio</w:t>
            </w:r>
          </w:p>
        </w:tc>
        <w:tc>
          <w:tcPr>
            <w:tcW w:type="dxa" w:w="6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Aplicación concreta</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Separación total de responsabilidades</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OpenDataManager no conoce dominios. GrantsSurveyor no gestiona extracción. Cada capa puede evolucionar sin afectar a la otra.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Genericidad en infraestructura</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Tanto OpenDataManager (Fetchers dinámicos) como GrantsSurveyor (metadominio Actor/Proceso/Activo) son agnósticos del dominio de los datos.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Supervisión humana por diseño</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Ningún hallazgo se publica sin confirmación humana. Los cambios de schema major requieren revisión antes de continuar. El analista está en el centro del proceso.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Auditabilidad completa</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Toda afirmación publicada tiene cadena de evidencias trazable hasta su fuente documental. Todo dato tiene dataset_id y versión de origen.</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Consecuencias del error</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Los falsos positivos tienen consecuencias (acusar a una entidad que no corresponde). El sistema es conservador por diseño: el umbral de publicación es alto y configurable.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9"/>
                <w:szCs w:val="19"/>
              </w:rPr>
              <w:t xml:space="preserve">Conocimiento acumulativo</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El grafo de conocimiento crece con cada ciclo. Un Actor confirmado hoy beneficia la evaluación de mañana. Los agentes entrenados son exportables y reutilizables.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Standalone y compartible</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GrantsSurveyor funciona sin servidor en la máquina del analista. El agente .gsagent es portátil entre organizaciones sin transferir datos.</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pBdr>
          <w:top w:val="single" w:color="2E75B6" w:sz="4" w:space="4"/>
        </w:pBdr>
        <w:spacing w:before="200" w:after="0"/>
        <w:jc w:val="center"/>
      </w:pPr>
      <w:r>
        <w:rPr>
          <w:rFonts w:ascii="Arial" w:cs="Arial" w:eastAsia="Arial" w:hAnsi="Arial"/>
          <w:i/>
          <w:iCs/>
          <w:color w:val="595959"/>
          <w:sz w:val="18"/>
          <w:szCs w:val="18"/>
        </w:rPr>
        <w:t xml:space="preserve">OpenDataManager + GrantsSurveyor  ·  Documento de Visión Conjunta v1.0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2026-03-14T19:42:47.977Z</dcterms:created>
  <dcterms:modified xsi:type="dcterms:W3CDTF">2026-03-14T19:42:47.979Z</dcterms:modified>
</cp:coreProperties>
</file>

<file path=docProps/custom.xml><?xml version="1.0" encoding="utf-8"?>
<Properties xmlns="http://schemas.openxmlformats.org/officeDocument/2006/custom-properties" xmlns:vt="http://schemas.openxmlformats.org/officeDocument/2006/docPropsVTypes"/>
</file>