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00" w:before="200"/>
        <w:jc w:val="center"/>
      </w:pPr>
      <w:r>
        <w:rPr>
          <w:rFonts w:ascii="Arial" w:cs="Arial" w:eastAsia="Arial" w:hAnsi="Arial"/>
          <w:b/>
          <w:bCs/>
          <w:color w:val="072F71"/>
          <w:sz w:val="52"/>
          <w:szCs w:val="52"/>
        </w:rPr>
        <w:t xml:space="preserve">MANUAL DE IDENTIDAD VISUAL</w:t>
      </w:r>
    </w:p>
    <w:p>
      <w:pPr>
        <w:spacing w:after="60" w:before="100"/>
        <w:jc w:val="center"/>
      </w:pPr>
      <w:r>
        <w:rPr>
          <w:rFonts w:ascii="Arial" w:cs="Arial" w:eastAsia="Arial" w:hAnsi="Arial"/>
          <w:b/>
          <w:bCs/>
          <w:color w:val="840505"/>
          <w:sz w:val="40"/>
          <w:szCs w:val="40"/>
        </w:rPr>
        <w:t xml:space="preserve">Rutas Inseguras</w:t>
      </w:r>
    </w:p>
    <w:p>
      <w:pPr>
        <w:spacing w:after="60" w:before="60"/>
        <w:jc w:val="center"/>
      </w:pPr>
      <w:r>
        <w:rPr>
          <w:rFonts w:ascii="Arial" w:cs="Arial" w:eastAsia="Arial" w:hAnsi="Arial"/>
          <w:color w:val="518555"/>
          <w:sz w:val="24"/>
          <w:szCs w:val="24"/>
        </w:rPr>
        <w:t xml:space="preserve">Plataforma de Movilidad Segura Urbana — Medellín, Colombia</w:t>
      </w:r>
    </w:p>
    <w:p>
      <w:pPr>
        <w:pBdr>
          <w:bottom w:val="single" w:color="072F71" w:sz="4" w:space="1"/>
        </w:pBdr>
        <w:spacing w:after="80" w:before="80"/>
      </w:pPr>
    </w:p>
    <w:p>
      <w:pPr>
        <w:spacing w:after="400" w:before="80"/>
        <w:jc w:val="center"/>
      </w:pPr>
      <w:r>
        <w:rPr>
          <w:rFonts w:ascii="Arial" w:cs="Arial" w:eastAsia="Arial" w:hAnsi="Arial"/>
          <w:color w:val="666666"/>
          <w:sz w:val="20"/>
          <w:szCs w:val="20"/>
        </w:rPr>
        <w:t xml:space="preserve">Versión 1.0  |  2026</w:t>
      </w:r>
    </w:p>
    <w:p>
      <w:pPr>
        <w:spacing w:after="60" w:before="60"/>
      </w:pPr>
    </w:p>
    <w:p>
      <w:pPr>
        <w:spacing w:after="60" w:before="60"/>
      </w:pPr>
    </w:p>
    <w:p>
      <w:pPr>
        <w:spacing w:after="60" w:before="60"/>
      </w:pPr>
    </w:p>
    <w:p>
      <w:r>
        <w:br w:type="page"/>
      </w:r>
    </w:p>
    <w:p>
      <w:pPr>
        <w:pStyle w:val="Heading1"/>
        <w:spacing w:after="200" w:before="400"/>
      </w:pPr>
      <w:r>
        <w:rPr>
          <w:rFonts w:ascii="Arial" w:cs="Arial" w:eastAsia="Arial" w:hAnsi="Arial"/>
          <w:b/>
          <w:bCs/>
          <w:color w:val="072F71"/>
          <w:sz w:val="34"/>
          <w:szCs w:val="34"/>
        </w:rPr>
        <w:t xml:space="preserve">1. Concepto de Marca</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1.1 Esencia del Software</w:t>
      </w:r>
    </w:p>
    <w:p>
      <w:pPr>
        <w:spacing w:after="100" w:before="80"/>
      </w:pPr>
      <w:r>
        <w:rPr>
          <w:rFonts w:ascii="Arial" w:cs="Arial" w:eastAsia="Arial" w:hAnsi="Arial"/>
          <w:sz w:val="22"/>
          <w:szCs w:val="22"/>
        </w:rPr>
        <w:t xml:space="preserve">Rutas Inseguras es una plataforma tecnológica que transforma la movilidad urbana en Medellín al poner la seguridad ciudadana en el centro de cada decisión de trayecto. Su esencia se construye sobre cuatro pilares fundamentales: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Seguridad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 seguridad del usuario es el criterio primario en toda recomendación de ruta, superando rapidez y comodidad.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Confianza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entrega información veraz, validada por datos oficiales y reportes ciudadanos en tiempo real.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Empoderamiento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Los usuarios toman decisiones informadas sobre sus desplazamientos, reduciendo la sensación de vulnerabilidad.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Comunidad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plataforma crece con los aportes colectivos de quienes la usan, generando inteligencia ciudadana compartida.</w:t>
            </w:r>
          </w:p>
        </w:tc>
      </w:tr>
    </w:tbl>
    <w:p>
      <w:pPr>
        <w:spacing w:after="60" w:before="60"/>
      </w:pPr>
    </w:p>
    <w:p>
      <w:pPr>
        <w:pStyle w:val="Heading2"/>
        <w:spacing w:after="120" w:before="300"/>
      </w:pPr>
      <w:r>
        <w:rPr>
          <w:rFonts w:ascii="Arial" w:cs="Arial" w:eastAsia="Arial" w:hAnsi="Arial"/>
          <w:b/>
          <w:bCs/>
          <w:color w:val="840505"/>
          <w:sz w:val="26"/>
          <w:szCs w:val="26"/>
        </w:rPr>
        <w:t xml:space="preserve">1.2 Tono de Voz de la Marca</w:t>
      </w:r>
    </w:p>
    <w:p>
      <w:pPr>
        <w:spacing w:after="100" w:before="80"/>
      </w:pPr>
      <w:r>
        <w:rPr>
          <w:rFonts w:ascii="Arial" w:cs="Arial" w:eastAsia="Arial" w:hAnsi="Arial"/>
          <w:sz w:val="22"/>
          <w:szCs w:val="22"/>
        </w:rPr>
        <w:t xml:space="preserve">La comunicación de Rutas Inseguras adopta un tono que combina autoridad técnica con cercanía humana: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Directo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Mensajes claros, sin ambigüedad. El usuario sabe exactamente qué riesgo enfrenta y qué alternativa tiene.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Empático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Reconoce que la inseguridad genera miedo real. Habla desde la comprensión, no desde la alarma.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Proactivo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espera que el incidente ocurra. Anticipa, previene y sugiere.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Técnico-accesible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 terminología precisa sin alienar al usuario no técnico. Equilibrio entre rigor y claridad.</w:t>
            </w:r>
          </w:p>
        </w:tc>
      </w:tr>
    </w:tbl>
    <w:p>
      <w:pPr>
        <w:spacing w:after="60" w:before="60"/>
      </w:pPr>
    </w:p>
    <w:p>
      <w:pPr>
        <w:pStyle w:val="Heading2"/>
        <w:spacing w:after="120" w:before="300"/>
      </w:pPr>
      <w:r>
        <w:rPr>
          <w:rFonts w:ascii="Arial" w:cs="Arial" w:eastAsia="Arial" w:hAnsi="Arial"/>
          <w:b/>
          <w:bCs/>
          <w:color w:val="840505"/>
          <w:sz w:val="26"/>
          <w:szCs w:val="26"/>
        </w:rPr>
        <w:t xml:space="preserve">1.3 Propósito de Marca</w:t>
      </w:r>
    </w:p>
    <w:p>
      <w:pPr>
        <w:spacing w:after="100" w:before="80"/>
      </w:pPr>
      <w:r>
        <w:rPr>
          <w:rFonts w:ascii="Arial" w:cs="Arial" w:eastAsia="Arial" w:hAnsi="Arial"/>
          <w:sz w:val="22"/>
          <w:szCs w:val="22"/>
        </w:rPr>
        <w:t xml:space="preserve">"Que cada persona en Medellín pueda moverse con información, con confianza y sin miedo."</w:t>
      </w:r>
    </w:p>
    <w:p>
      <w:pPr>
        <w:spacing w:after="60" w:before="60"/>
      </w:pPr>
    </w:p>
    <w:p>
      <w:pPr>
        <w:pStyle w:val="Heading2"/>
        <w:spacing w:after="120" w:before="300"/>
      </w:pPr>
      <w:r>
        <w:rPr>
          <w:rFonts w:ascii="Arial" w:cs="Arial" w:eastAsia="Arial" w:hAnsi="Arial"/>
          <w:b/>
          <w:bCs/>
          <w:color w:val="840505"/>
          <w:sz w:val="26"/>
          <w:szCs w:val="26"/>
        </w:rPr>
        <w:t xml:space="preserve">1.4 Posicionamiento</w:t>
      </w:r>
    </w:p>
    <w:p>
      <w:pPr>
        <w:spacing w:after="100" w:before="80"/>
      </w:pPr>
      <w:r>
        <w:rPr>
          <w:rFonts w:ascii="Arial" w:cs="Arial" w:eastAsia="Arial" w:hAnsi="Arial"/>
          <w:sz w:val="22"/>
          <w:szCs w:val="22"/>
        </w:rPr>
        <w:t xml:space="preserve">Rutas Inseguras no compite en el segmento de la rapidez o el tráfico vehicular. Se posiciona exclusivamente en el segmento de la seguridad urbana inteligente, siendo la primera plataforma colombiana especializada en análisis de riesgo para peatones y usuarios de transporte público.</w:t>
      </w:r>
    </w:p>
    <w:p>
      <w:pPr>
        <w:spacing w:after="60" w:before="60"/>
      </w:pPr>
    </w:p>
    <w:p>
      <w:r>
        <w:br w:type="page"/>
      </w:r>
    </w:p>
    <w:p>
      <w:pPr>
        <w:pStyle w:val="Heading1"/>
        <w:spacing w:after="200" w:before="400"/>
      </w:pPr>
      <w:r>
        <w:rPr>
          <w:rFonts w:ascii="Arial" w:cs="Arial" w:eastAsia="Arial" w:hAnsi="Arial"/>
          <w:b/>
          <w:bCs/>
          <w:color w:val="072F71"/>
          <w:sz w:val="34"/>
          <w:szCs w:val="34"/>
        </w:rPr>
        <w:t xml:space="preserve">2. Sistema de Logotipo</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2.1 Descripción del Símbolo</w:t>
      </w:r>
    </w:p>
    <w:p>
      <w:pPr>
        <w:spacing w:after="100" w:before="80"/>
      </w:pPr>
      <w:r>
        <w:rPr>
          <w:rFonts w:ascii="Arial" w:cs="Arial" w:eastAsia="Arial" w:hAnsi="Arial"/>
          <w:sz w:val="22"/>
          <w:szCs w:val="22"/>
        </w:rPr>
        <w:t xml:space="preserve">El emblema de Rutas Inseguras consiste en una letra "R" de trazo geométrico bold, en cuyo interior se integra un sendero de mapa estilizado. Este sendero representa visualmente el recorrido urbano: una línea curva que parte desde la base de la letra y asciende hacia el extremo superior derecho, simbolizando el camino que el usuario transitará de forma más segura.</w:t>
      </w:r>
    </w:p>
    <w:p>
      <w:pPr>
        <w:spacing w:after="60" w:before="60"/>
      </w:pPr>
    </w:p>
    <w:p>
      <w:pPr>
        <w:spacing w:after="100" w:before="80"/>
      </w:pPr>
      <w:r>
        <w:rPr>
          <w:rFonts w:ascii="Arial" w:cs="Arial" w:eastAsia="Arial" w:hAnsi="Arial"/>
          <w:sz w:val="22"/>
          <w:szCs w:val="22"/>
        </w:rPr>
        <w:t xml:space="preserve">La fusión entre la letra y el sendero no es decorativa: es conceptual. La "R" hace referencia directa a "Rutas", mientras que el trayecto interior evoca la función central del producto: guiar.</w:t>
      </w:r>
    </w:p>
    <w:p>
      <w:pPr>
        <w:spacing w:after="60" w:before="60"/>
      </w:pPr>
    </w:p>
    <w:p>
      <w:pPr>
        <w:pStyle w:val="Heading2"/>
        <w:spacing w:after="120" w:before="300"/>
      </w:pPr>
      <w:r>
        <w:rPr>
          <w:rFonts w:ascii="Arial" w:cs="Arial" w:eastAsia="Arial" w:hAnsi="Arial"/>
          <w:b/>
          <w:bCs/>
          <w:color w:val="840505"/>
          <w:sz w:val="26"/>
          <w:szCs w:val="26"/>
        </w:rPr>
        <w:t xml:space="preserve">2.2 Construcción y Proporciones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Unidad de construcción (X)</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Grosor del trazo principal de la "R". Todos los espaciados se derivan de esta unidad.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Alto del emblema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Ancho del emblema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Grosor del sendero interior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Radio mínimo de curva del sendero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Área de protección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1.5X en todos los lados del emblema</w:t>
            </w:r>
          </w:p>
        </w:tc>
      </w:tr>
    </w:tbl>
    <w:p>
      <w:pPr>
        <w:spacing w:after="60" w:before="60"/>
      </w:pPr>
    </w:p>
    <w:p>
      <w:pPr>
        <w:pStyle w:val="Heading2"/>
        <w:spacing w:after="120" w:before="300"/>
      </w:pPr>
      <w:r>
        <w:rPr>
          <w:rFonts w:ascii="Arial" w:cs="Arial" w:eastAsia="Arial" w:hAnsi="Arial"/>
          <w:b/>
          <w:bCs/>
          <w:color w:val="840505"/>
          <w:sz w:val="26"/>
          <w:szCs w:val="26"/>
        </w:rPr>
        <w:t xml:space="preserve">2.3 Versiones del Logotipo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Versión Primaria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Emblema (R + sendero) + Logotipo "Rutas Inseguras" a la derecha, en dos líneas.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Versión Compacta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Emblema + logotipo en una sola línea. Para cabeceras de pantalla y apps.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Versión Ícono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Solo el emblema, sin texto. Para favicon, íconos de app y espacios reducidos (mín. 24×24 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Versión Monocromática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Navy uniforme sobre fondo blanco o blanco sobre fondo navy. Para impresión en escala de grises.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Versión Negativa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Blanco sobre fondo Regal Navy o Maroon. Para fondos oscuros.</w:t>
            </w:r>
          </w:p>
        </w:tc>
      </w:tr>
    </w:tbl>
    <w:p>
      <w:pPr>
        <w:spacing w:after="60" w:before="60"/>
      </w:pPr>
    </w:p>
    <w:p>
      <w:pPr>
        <w:pStyle w:val="Heading2"/>
        <w:spacing w:after="120" w:before="300"/>
      </w:pPr>
      <w:r>
        <w:rPr>
          <w:rFonts w:ascii="Arial" w:cs="Arial" w:eastAsia="Arial" w:hAnsi="Arial"/>
          <w:b/>
          <w:bCs/>
          <w:color w:val="840505"/>
          <w:sz w:val="26"/>
          <w:szCs w:val="26"/>
        </w:rPr>
        <w:t xml:space="preserve">2.4 Usos Incorrectos del Logotipo</w:t>
      </w:r>
    </w:p>
    <w:p>
      <w:pPr>
        <w:pStyle w:val="ListParagraph"/>
        <w:numPr>
          <w:ilvl w:val="0"/>
          <w:numId w:val="2"/>
        </w:numPr>
        <w:spacing w:after="60" w:before="60"/>
      </w:pPr>
      <w:r>
        <w:rPr>
          <w:rFonts w:ascii="Arial" w:cs="Arial" w:eastAsia="Arial" w:hAnsi="Arial"/>
          <w:sz w:val="22"/>
          <w:szCs w:val="22"/>
        </w:rPr>
        <w:t xml:space="preserve">No rotar el emblema más de 0°.</w:t>
      </w:r>
    </w:p>
    <w:p>
      <w:pPr>
        <w:pStyle w:val="ListParagraph"/>
        <w:numPr>
          <w:ilvl w:val="0"/>
          <w:numId w:val="2"/>
        </w:numPr>
        <w:spacing w:after="60" w:before="60"/>
      </w:pPr>
      <w:r>
        <w:rPr>
          <w:rFonts w:ascii="Arial" w:cs="Arial" w:eastAsia="Arial" w:hAnsi="Arial"/>
          <w:sz w:val="22"/>
          <w:szCs w:val="22"/>
        </w:rPr>
        <w:t xml:space="preserve">No deformar ni escalar de forma no proporcional.</w:t>
      </w:r>
    </w:p>
    <w:p>
      <w:pPr>
        <w:pStyle w:val="ListParagraph"/>
        <w:numPr>
          <w:ilvl w:val="0"/>
          <w:numId w:val="2"/>
        </w:numPr>
        <w:spacing w:after="60" w:before="60"/>
      </w:pPr>
      <w:r>
        <w:rPr>
          <w:rFonts w:ascii="Arial" w:cs="Arial" w:eastAsia="Arial" w:hAnsi="Arial"/>
          <w:sz w:val="22"/>
          <w:szCs w:val="22"/>
        </w:rPr>
        <w:t xml:space="preserve">No cambiar los colores corporativos por colores no autorizados.</w:t>
      </w:r>
    </w:p>
    <w:p>
      <w:pPr>
        <w:pStyle w:val="ListParagraph"/>
        <w:numPr>
          <w:ilvl w:val="0"/>
          <w:numId w:val="2"/>
        </w:numPr>
        <w:spacing w:after="60" w:before="60"/>
      </w:pPr>
      <w:r>
        <w:rPr>
          <w:rFonts w:ascii="Arial" w:cs="Arial" w:eastAsia="Arial" w:hAnsi="Arial"/>
          <w:sz w:val="22"/>
          <w:szCs w:val="22"/>
        </w:rPr>
        <w:t xml:space="preserve">No aplicar sombras, degradados o efectos 3D.</w:t>
      </w:r>
    </w:p>
    <w:p>
      <w:pPr>
        <w:pStyle w:val="ListParagraph"/>
        <w:numPr>
          <w:ilvl w:val="0"/>
          <w:numId w:val="2"/>
        </w:numPr>
        <w:spacing w:after="60" w:before="60"/>
      </w:pPr>
      <w:r>
        <w:rPr>
          <w:rFonts w:ascii="Arial" w:cs="Arial" w:eastAsia="Arial" w:hAnsi="Arial"/>
          <w:sz w:val="22"/>
          <w:szCs w:val="22"/>
        </w:rPr>
        <w:t xml:space="preserve">No colocar el logotipo sobre fondos con contraste insuficiente (relación mínima 4.5:1, WCAG AA).</w:t>
      </w:r>
    </w:p>
    <w:p>
      <w:pPr>
        <w:pStyle w:val="ListParagraph"/>
        <w:numPr>
          <w:ilvl w:val="0"/>
          <w:numId w:val="2"/>
        </w:numPr>
        <w:spacing w:after="60" w:before="60"/>
      </w:pPr>
      <w:r>
        <w:rPr>
          <w:rFonts w:ascii="Arial" w:cs="Arial" w:eastAsia="Arial" w:hAnsi="Arial"/>
          <w:sz w:val="22"/>
          <w:szCs w:val="22"/>
        </w:rPr>
        <w:t xml:space="preserve">No reducir el emblema por debajo de 24px de alto en pantalla o 8mm en impresión.</w:t>
      </w:r>
    </w:p>
    <w:p>
      <w:pPr>
        <w:spacing w:after="60" w:before="60"/>
      </w:pPr>
    </w:p>
    <w:p>
      <w:r>
        <w:br w:type="page"/>
      </w:r>
    </w:p>
    <w:p>
      <w:pPr>
        <w:pStyle w:val="Heading1"/>
        <w:spacing w:after="200" w:before="400"/>
      </w:pPr>
      <w:r>
        <w:rPr>
          <w:rFonts w:ascii="Arial" w:cs="Arial" w:eastAsia="Arial" w:hAnsi="Arial"/>
          <w:b/>
          <w:bCs/>
          <w:color w:val="072F71"/>
          <w:sz w:val="34"/>
          <w:szCs w:val="34"/>
        </w:rPr>
        <w:t xml:space="preserve">3. Paleta de Colores</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3.1 Colores Primarios</w:t>
      </w:r>
    </w:p>
    <w:p>
      <w:pPr>
        <w:spacing w:after="100" w:before="80"/>
      </w:pPr>
      <w:r>
        <w:rPr>
          <w:rFonts w:ascii="Arial" w:cs="Arial" w:eastAsia="Arial" w:hAnsi="Arial"/>
          <w:sz w:val="22"/>
          <w:szCs w:val="22"/>
        </w:rPr>
        <w:t xml:space="preserve">Los colores primarios son los portadores de la identidad de marca. Deben aparecer en todos los materiales de comunicación.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72F71" w:val="clear"/>
            <w:tcMar>
              <w:top w:type="dxa" w:w="600"/>
              <w:left w:type="dxa" w:w="120"/>
              <w:bottom w:type="dxa" w:w="600"/>
              <w:right w:type="dxa" w:w="120"/>
            </w:tcMar>
            <w:vAlign w:val="center"/>
          </w:tcPr>
          <w:p/>
        </w:tc>
        <w:tc>
          <w:tcPr>
            <w:tcW w:type="dxa" w:w="3120"/>
            <w:tcBorders>
              <w:top w:val="single" w:color="CCCCCC" w:sz="1"/>
              <w:left w:val="single" w:color="CCCCCC" w:sz="1"/>
              <w:bottom w:val="single" w:color="CCCCCC" w:sz="1"/>
              <w:right w:val="single" w:color="CCCCCC" w:sz="1"/>
            </w:tcBorders>
            <w:shd w:fill="840505" w:val="clear"/>
            <w:tcMar>
              <w:top w:type="dxa" w:w="600"/>
              <w:left w:type="dxa" w:w="120"/>
              <w:bottom w:type="dxa" w:w="600"/>
              <w:right w:type="dxa" w:w="120"/>
            </w:tcMar>
            <w:vAlign w:val="center"/>
          </w:tcPr>
          <w:p/>
        </w:tc>
        <w:tc>
          <w:tcPr>
            <w:tcW w:type="dxa" w:w="3120"/>
            <w:tcBorders>
              <w:top w:val="single" w:color="CCCCCC" w:sz="1"/>
              <w:left w:val="single" w:color="CCCCCC" w:sz="1"/>
              <w:bottom w:val="single" w:color="CCCCCC" w:sz="1"/>
              <w:right w:val="single" w:color="CCCCCC" w:sz="1"/>
            </w:tcBorders>
            <w:shd w:fill="518555" w:val="clear"/>
            <w:tcMar>
              <w:top w:type="dxa" w:w="600"/>
              <w:left w:type="dxa" w:w="120"/>
              <w:bottom w:type="dxa" w:w="600"/>
              <w:right w:type="dxa" w:w="120"/>
            </w:tcMar>
            <w:vAlign w:val="center"/>
          </w:tcP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#072F71</w:t>
            </w:r>
          </w:p>
          <w:p>
            <w:pPr>
              <w:jc w:val="center"/>
            </w:pPr>
            <w:r>
              <w:rPr>
                <w:rFonts w:ascii="Arial" w:cs="Arial" w:eastAsia="Arial" w:hAnsi="Arial"/>
                <w:color w:val="444444"/>
                <w:sz w:val="18"/>
                <w:szCs w:val="18"/>
              </w:rPr>
              <w:t xml:space="preserve">Regal Navy</w:t>
            </w:r>
          </w:p>
          <w:p>
            <w:pPr>
              <w:jc w:val="center"/>
            </w:pPr>
            <w:r>
              <w:rPr>
                <w:rFonts w:ascii="Arial" w:cs="Arial" w:eastAsia="Arial" w:hAnsi="Arial"/>
                <w:color w:val="666666"/>
                <w:sz w:val="16"/>
                <w:szCs w:val="16"/>
              </w:rPr>
              <w:t xml:space="preserve">Primario principal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#840505</w:t>
            </w:r>
          </w:p>
          <w:p>
            <w:pPr>
              <w:jc w:val="center"/>
            </w:pPr>
            <w:r>
              <w:rPr>
                <w:rFonts w:ascii="Arial" w:cs="Arial" w:eastAsia="Arial" w:hAnsi="Arial"/>
                <w:color w:val="444444"/>
                <w:sz w:val="18"/>
                <w:szCs w:val="18"/>
              </w:rPr>
              <w:t xml:space="preserve">Maroon</w:t>
            </w:r>
          </w:p>
          <w:p>
            <w:pPr>
              <w:jc w:val="center"/>
            </w:pPr>
            <w:r>
              <w:rPr>
                <w:rFonts w:ascii="Arial" w:cs="Arial" w:eastAsia="Arial" w:hAnsi="Arial"/>
                <w:color w:val="666666"/>
                <w:sz w:val="16"/>
                <w:szCs w:val="16"/>
              </w:rPr>
              <w:t xml:space="preserve">Primario de acento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#518555</w:t>
            </w:r>
          </w:p>
          <w:p>
            <w:pPr>
              <w:jc w:val="center"/>
            </w:pPr>
            <w:r>
              <w:rPr>
                <w:rFonts w:ascii="Arial" w:cs="Arial" w:eastAsia="Arial" w:hAnsi="Arial"/>
                <w:color w:val="444444"/>
                <w:sz w:val="18"/>
                <w:szCs w:val="18"/>
              </w:rPr>
              <w:t xml:space="preserve">Sea Green</w:t>
            </w:r>
          </w:p>
          <w:p>
            <w:pPr>
              <w:jc w:val="center"/>
            </w:pPr>
            <w:r>
              <w:rPr>
                <w:rFonts w:ascii="Arial" w:cs="Arial" w:eastAsia="Arial" w:hAnsi="Arial"/>
                <w:color w:val="666666"/>
                <w:sz w:val="16"/>
                <w:szCs w:val="16"/>
              </w:rPr>
              <w:t xml:space="preserve">Apoyo / éxito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072F71 — Regal Navy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Utilizado en: cabeceras, fondo de navbar, textos de alto impacto, fondos de secciones hero. Transmite autoridad, estabilidad y confianza. Es el color de mayor presencia en la interfaz.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840505 — Maroon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Utilizado en: alertas críticas de inseguridad, llamadas a la acción (CTA) primarios, indicadores de zona de alto riesgo. Transmite urgencia y peligro sin generar pánico.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518555 — Sea Green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Utilizado en: indicadores de zona segura, botones de confirmación, mensajes de éxito. Evoca seguridad, naturaleza y tránsito sin riesgos.</w:t>
            </w:r>
          </w:p>
        </w:tc>
      </w:tr>
    </w:tbl>
    <w:p>
      <w:pPr>
        <w:spacing w:after="60" w:before="60"/>
      </w:pPr>
    </w:p>
    <w:p>
      <w:pPr>
        <w:pStyle w:val="Heading2"/>
        <w:spacing w:after="120" w:before="300"/>
      </w:pPr>
      <w:r>
        <w:rPr>
          <w:rFonts w:ascii="Arial" w:cs="Arial" w:eastAsia="Arial" w:hAnsi="Arial"/>
          <w:b/>
          <w:bCs/>
          <w:color w:val="840505"/>
          <w:sz w:val="26"/>
          <w:szCs w:val="26"/>
        </w:rPr>
        <w:t xml:space="preserve">3.2 Colores Secundarios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C862" w:val="clear"/>
            <w:tcMar>
              <w:top w:type="dxa" w:w="600"/>
              <w:left w:type="dxa" w:w="120"/>
              <w:bottom w:type="dxa" w:w="600"/>
              <w:right w:type="dxa" w:w="120"/>
            </w:tcMar>
            <w:vAlign w:val="center"/>
          </w:tcPr>
          <w:p/>
        </w:tc>
        <w:tc>
          <w:tcPr>
            <w:tcW w:type="dxa" w:w="4680"/>
            <w:tcBorders>
              <w:top w:val="single" w:color="CCCCCC" w:sz="1"/>
              <w:left w:val="single" w:color="CCCCCC" w:sz="1"/>
              <w:bottom w:val="single" w:color="CCCCCC" w:sz="1"/>
              <w:right w:val="single" w:color="CCCCCC" w:sz="1"/>
            </w:tcBorders>
            <w:shd w:fill="560B5A" w:val="clear"/>
            <w:tcMar>
              <w:top w:type="dxa" w:w="600"/>
              <w:left w:type="dxa" w:w="120"/>
              <w:bottom w:type="dxa" w:w="600"/>
              <w:right w:type="dxa" w:w="120"/>
            </w:tcMar>
            <w:vAlign w:val="center"/>
          </w:tc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#F0C862</w:t>
            </w:r>
          </w:p>
          <w:p>
            <w:pPr>
              <w:jc w:val="center"/>
            </w:pPr>
            <w:r>
              <w:rPr>
                <w:rFonts w:ascii="Arial" w:cs="Arial" w:eastAsia="Arial" w:hAnsi="Arial"/>
                <w:color w:val="444444"/>
                <w:sz w:val="18"/>
                <w:szCs w:val="18"/>
              </w:rPr>
              <w:t xml:space="preserve">Tuscan Sun</w:t>
            </w:r>
          </w:p>
          <w:p>
            <w:pPr>
              <w:jc w:val="center"/>
            </w:pPr>
            <w:r>
              <w:rPr>
                <w:rFonts w:ascii="Arial" w:cs="Arial" w:eastAsia="Arial" w:hAnsi="Arial"/>
                <w:color w:val="666666"/>
                <w:sz w:val="16"/>
                <w:szCs w:val="16"/>
              </w:rPr>
              <w:t xml:space="preserve">Alerta / advertencia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#560B5A</w:t>
            </w:r>
          </w:p>
          <w:p>
            <w:pPr>
              <w:jc w:val="center"/>
            </w:pPr>
            <w:r>
              <w:rPr>
                <w:rFonts w:ascii="Arial" w:cs="Arial" w:eastAsia="Arial" w:hAnsi="Arial"/>
                <w:color w:val="444444"/>
                <w:sz w:val="18"/>
                <w:szCs w:val="18"/>
              </w:rPr>
              <w:t xml:space="preserve">Deep Purple</w:t>
            </w:r>
          </w:p>
          <w:p>
            <w:pPr>
              <w:jc w:val="center"/>
            </w:pPr>
            <w:r>
              <w:rPr>
                <w:rFonts w:ascii="Arial" w:cs="Arial" w:eastAsia="Arial" w:hAnsi="Arial"/>
                <w:color w:val="666666"/>
                <w:sz w:val="16"/>
                <w:szCs w:val="16"/>
              </w:rPr>
              <w:t xml:space="preserve">Informativo / premium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F0C862 — Tuscan Sun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Utilizado en: zonas de riesgo medio, alertas de advertencia, badges de horario nocturno. Transmite precaución sin alarma extrema. Garantiza alta legibilidad sobre fondo oscuro.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560B5A — Deep Purple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Utilizado en: secciones de análisis de datos, funcionalidades premium, tooltips informativos. Transmite profundidad analítica y distinción.</w:t>
            </w:r>
          </w:p>
        </w:tc>
      </w:tr>
    </w:tbl>
    <w:p>
      <w:pPr>
        <w:spacing w:after="60" w:before="60"/>
      </w:pPr>
    </w:p>
    <w:p>
      <w:pPr>
        <w:pStyle w:val="Heading2"/>
        <w:spacing w:after="120" w:before="300"/>
      </w:pPr>
      <w:r>
        <w:rPr>
          <w:rFonts w:ascii="Arial" w:cs="Arial" w:eastAsia="Arial" w:hAnsi="Arial"/>
          <w:b/>
          <w:bCs/>
          <w:color w:val="840505"/>
          <w:sz w:val="26"/>
          <w:szCs w:val="26"/>
        </w:rPr>
        <w:t xml:space="preserve">3.3 Colores Neutros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600"/>
              <w:left w:type="dxa" w:w="120"/>
              <w:bottom w:type="dxa" w:w="600"/>
              <w:right w:type="dxa" w:w="120"/>
            </w:tcMar>
            <w:vAlign w:val="center"/>
          </w:tcPr>
          <w:p/>
        </w:tc>
        <w:tc>
          <w:tcPr>
            <w:tcW w:type="dxa" w:w="3120"/>
            <w:tcBorders>
              <w:top w:val="single" w:color="CCCCCC" w:sz="1"/>
              <w:left w:val="single" w:color="CCCCCC" w:sz="1"/>
              <w:bottom w:val="single" w:color="CCCCCC" w:sz="1"/>
              <w:right w:val="single" w:color="CCCCCC" w:sz="1"/>
            </w:tcBorders>
            <w:shd w:fill="F5F7FA" w:val="clear"/>
            <w:tcMar>
              <w:top w:type="dxa" w:w="600"/>
              <w:left w:type="dxa" w:w="120"/>
              <w:bottom w:type="dxa" w:w="600"/>
              <w:right w:type="dxa" w:w="120"/>
            </w:tcMar>
            <w:vAlign w:val="center"/>
          </w:tcPr>
          <w:p/>
        </w:tc>
        <w:tc>
          <w:tcPr>
            <w:tcW w:type="dxa" w:w="3120"/>
            <w:tcBorders>
              <w:top w:val="single" w:color="CCCCCC" w:sz="1"/>
              <w:left w:val="single" w:color="CCCCCC" w:sz="1"/>
              <w:bottom w:val="single" w:color="CCCCCC" w:sz="1"/>
              <w:right w:val="single" w:color="CCCCCC" w:sz="1"/>
            </w:tcBorders>
            <w:shd w:fill="6B7280" w:val="clear"/>
            <w:tcMar>
              <w:top w:type="dxa" w:w="600"/>
              <w:left w:type="dxa" w:w="120"/>
              <w:bottom w:type="dxa" w:w="600"/>
              <w:right w:type="dxa" w:w="120"/>
            </w:tcMar>
            <w:vAlign w:val="center"/>
          </w:tcP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#FFFFFF</w:t>
            </w:r>
          </w:p>
          <w:p>
            <w:pPr>
              <w:jc w:val="center"/>
            </w:pPr>
            <w:r>
              <w:rPr>
                <w:rFonts w:ascii="Arial" w:cs="Arial" w:eastAsia="Arial" w:hAnsi="Arial"/>
                <w:color w:val="444444"/>
                <w:sz w:val="18"/>
                <w:szCs w:val="18"/>
              </w:rPr>
              <w:t xml:space="preserve">Blanco puro</w:t>
            </w:r>
          </w:p>
          <w:p>
            <w:pPr>
              <w:jc w:val="center"/>
            </w:pPr>
            <w:r>
              <w:rPr>
                <w:rFonts w:ascii="Arial" w:cs="Arial" w:eastAsia="Arial" w:hAnsi="Arial"/>
                <w:color w:val="666666"/>
                <w:sz w:val="16"/>
                <w:szCs w:val="16"/>
              </w:rPr>
              <w:t xml:space="preserve">Fondo principal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#F5F7FA</w:t>
            </w:r>
          </w:p>
          <w:p>
            <w:pPr>
              <w:jc w:val="center"/>
            </w:pPr>
            <w:r>
              <w:rPr>
                <w:rFonts w:ascii="Arial" w:cs="Arial" w:eastAsia="Arial" w:hAnsi="Arial"/>
                <w:color w:val="444444"/>
                <w:sz w:val="18"/>
                <w:szCs w:val="18"/>
              </w:rPr>
              <w:t xml:space="preserve">Gris Hielo</w:t>
            </w:r>
          </w:p>
          <w:p>
            <w:pPr>
              <w:jc w:val="center"/>
            </w:pPr>
            <w:r>
              <w:rPr>
                <w:rFonts w:ascii="Arial" w:cs="Arial" w:eastAsia="Arial" w:hAnsi="Arial"/>
                <w:color w:val="666666"/>
                <w:sz w:val="16"/>
                <w:szCs w:val="16"/>
              </w:rPr>
              <w:t xml:space="preserve">Fondo de tarjetas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#6B7280</w:t>
            </w:r>
          </w:p>
          <w:p>
            <w:pPr>
              <w:jc w:val="center"/>
            </w:pPr>
            <w:r>
              <w:rPr>
                <w:rFonts w:ascii="Arial" w:cs="Arial" w:eastAsia="Arial" w:hAnsi="Arial"/>
                <w:color w:val="444444"/>
                <w:sz w:val="18"/>
                <w:szCs w:val="18"/>
              </w:rPr>
              <w:t xml:space="preserve">Gris Medio</w:t>
            </w:r>
          </w:p>
          <w:p>
            <w:pPr>
              <w:jc w:val="center"/>
            </w:pPr>
            <w:r>
              <w:rPr>
                <w:rFonts w:ascii="Arial" w:cs="Arial" w:eastAsia="Arial" w:hAnsi="Arial"/>
                <w:color w:val="666666"/>
                <w:sz w:val="16"/>
                <w:szCs w:val="16"/>
              </w:rPr>
              <w:t xml:space="preserve">Texto secundario</w:t>
            </w:r>
          </w:p>
        </w:tc>
      </w:tr>
    </w:tbl>
    <w:p>
      <w:pPr>
        <w:spacing w:after="60" w:before="60"/>
      </w:pPr>
    </w:p>
    <w:p>
      <w:pPr>
        <w:pStyle w:val="Heading2"/>
        <w:spacing w:after="120" w:before="300"/>
      </w:pPr>
      <w:r>
        <w:rPr>
          <w:rFonts w:ascii="Arial" w:cs="Arial" w:eastAsia="Arial" w:hAnsi="Arial"/>
          <w:b/>
          <w:bCs/>
          <w:color w:val="840505"/>
          <w:sz w:val="26"/>
          <w:szCs w:val="26"/>
        </w:rPr>
        <w:t xml:space="preserve">3.4 Colores de Estado del Sistema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Éxito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Sea Green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#518555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Ruta segura confirmada, acción completada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Advertencia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Tuscan Sun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#F0C862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Zona de riesgo medio, horario sensible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Error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Maroon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#840505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Zona peligrosa, fallo de sistema, alerta crítica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ℹ Información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Deep Purple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#560B5A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Datos analíticos, tooltips, guías de uso</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Deshabilitado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Gris Medio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#6B7280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Controles inactivos, opciones no disponibles</w:t>
            </w:r>
          </w:p>
        </w:tc>
      </w:tr>
    </w:tbl>
    <w:p>
      <w:pPr>
        <w:spacing w:after="60" w:before="60"/>
      </w:pPr>
    </w:p>
    <w:p>
      <w:r>
        <w:br w:type="page"/>
      </w:r>
    </w:p>
    <w:p>
      <w:pPr>
        <w:pStyle w:val="Heading1"/>
        <w:spacing w:after="200" w:before="400"/>
      </w:pPr>
      <w:r>
        <w:rPr>
          <w:rFonts w:ascii="Arial" w:cs="Arial" w:eastAsia="Arial" w:hAnsi="Arial"/>
          <w:b/>
          <w:bCs/>
          <w:color w:val="072F71"/>
          <w:sz w:val="34"/>
          <w:szCs w:val="34"/>
        </w:rPr>
        <w:t xml:space="preserve">4. Tipografía</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4.1 Familia Tipográfica Principal — Títulos</w:t>
      </w:r>
    </w:p>
    <w:p>
      <w:pPr>
        <w:spacing w:after="100" w:before="80"/>
      </w:pPr>
      <w:r>
        <w:rPr>
          <w:rFonts w:ascii="Arial" w:cs="Arial" w:eastAsia="Arial" w:hAnsi="Arial"/>
          <w:b/>
          <w:bCs/>
          <w:sz w:val="22"/>
          <w:szCs w:val="22"/>
        </w:rPr>
        <w:t xml:space="preserve">Fuente: Remachine Script Personal Use (tipografía caligráfica bold).</w:t>
      </w:r>
    </w:p>
    <w:p>
      <w:pPr>
        <w:spacing w:after="60" w:before="60"/>
      </w:pPr>
    </w:p>
    <w:p>
      <w:pPr>
        <w:spacing w:after="100" w:before="80"/>
      </w:pPr>
      <w:r>
        <w:rPr>
          <w:rFonts w:ascii="Arial" w:cs="Arial" w:eastAsia="Arial" w:hAnsi="Arial"/>
          <w:sz w:val="22"/>
          <w:szCs w:val="22"/>
        </w:rPr>
        <w:t xml:space="preserve">Uso exclusivo: logotipo, claims de marca y titulares de alto impacto en materiales de comunicación (presentaciones, splash screens, banners de marketing). No se usa en interfaces funcionales de la aplicación, ya que su estilo caligráfico reduce la legibilidad en tamaños pequeños.</w:t>
      </w:r>
    </w:p>
    <w:p>
      <w:pPr>
        <w:spacing w:after="60" w:before="60"/>
      </w:pPr>
    </w:p>
    <w:p>
      <w:pPr>
        <w:pStyle w:val="Heading2"/>
        <w:spacing w:after="120" w:before="300"/>
      </w:pPr>
      <w:r>
        <w:rPr>
          <w:rFonts w:ascii="Arial" w:cs="Arial" w:eastAsia="Arial" w:hAnsi="Arial"/>
          <w:b/>
          <w:bCs/>
          <w:color w:val="840505"/>
          <w:sz w:val="26"/>
          <w:szCs w:val="26"/>
        </w:rPr>
        <w:t xml:space="preserve">4.2 Familia Tipográfica para Anuncios y UI — Pliant</w:t>
      </w:r>
    </w:p>
    <w:p>
      <w:pPr>
        <w:spacing w:after="100" w:before="80"/>
      </w:pPr>
      <w:r>
        <w:rPr>
          <w:rFonts w:ascii="Arial" w:cs="Arial" w:eastAsia="Arial" w:hAnsi="Arial"/>
          <w:b/>
          <w:bCs/>
          <w:sz w:val="22"/>
          <w:szCs w:val="22"/>
        </w:rPr>
        <w:t xml:space="preserve">Fuente: Pliant (Google Fonts, variable 100–900).</w:t>
      </w:r>
    </w:p>
    <w:p>
      <w:pPr>
        <w:spacing w:after="100" w:before="80"/>
      </w:pPr>
      <w:r>
        <w:rPr>
          <w:rFonts w:ascii="Arial" w:cs="Arial" w:eastAsia="Arial" w:hAnsi="Arial"/>
          <w:sz w:val="22"/>
          <w:szCs w:val="22"/>
        </w:rPr>
        <w:t xml:space="preserve">Importación: @import desde Google Fonts con soporte de itálica y pesos variables.</w:t>
      </w:r>
    </w:p>
    <w:p>
      <w:pPr>
        <w:spacing w:after="60" w:before="60"/>
      </w:pPr>
    </w:p>
    <w:p>
      <w:pPr>
        <w:spacing w:after="100" w:before="80"/>
      </w:pPr>
      <w:r>
        <w:rPr>
          <w:rFonts w:ascii="Arial" w:cs="Arial" w:eastAsia="Arial" w:hAnsi="Arial"/>
          <w:sz w:val="22"/>
          <w:szCs w:val="22"/>
        </w:rPr>
        <w:t xml:space="preserve">Justificación de uso en UI: Pliant combina la calidez de una tipografía humanista con la precisión de trazos geométricos, lo que la hace idónea para encabezados de pantalla, subtítulos de sección y llamadas a la acción. Su estructura abierta mejora la legibilidad en densidades de pantalla media (96–144 ppi). El soporte de múltiples pesos permite construir jerarquía visual clara sin cambiar de familia.</w:t>
      </w:r>
    </w:p>
    <w:p>
      <w:pPr>
        <w:spacing w:after="60" w:before="60"/>
      </w:pPr>
    </w:p>
    <w:p>
      <w:pPr>
        <w:pStyle w:val="Heading2"/>
        <w:spacing w:after="120" w:before="300"/>
      </w:pPr>
      <w:r>
        <w:rPr>
          <w:rFonts w:ascii="Arial" w:cs="Arial" w:eastAsia="Arial" w:hAnsi="Arial"/>
          <w:b/>
          <w:bCs/>
          <w:color w:val="840505"/>
          <w:sz w:val="26"/>
          <w:szCs w:val="26"/>
        </w:rPr>
        <w:t xml:space="preserve">4.3 Familia Tipográfica para Cuerpo — Roboto</w:t>
      </w:r>
    </w:p>
    <w:p>
      <w:pPr>
        <w:spacing w:after="100" w:before="80"/>
      </w:pPr>
      <w:r>
        <w:rPr>
          <w:rFonts w:ascii="Arial" w:cs="Arial" w:eastAsia="Arial" w:hAnsi="Arial"/>
          <w:b/>
          <w:bCs/>
          <w:sz w:val="22"/>
          <w:szCs w:val="22"/>
        </w:rPr>
        <w:t xml:space="preserve">Fuente: Roboto (Google Fonts, variable 100–900).</w:t>
      </w:r>
    </w:p>
    <w:p>
      <w:pPr>
        <w:spacing w:after="60" w:before="60"/>
      </w:pPr>
    </w:p>
    <w:p>
      <w:pPr>
        <w:spacing w:after="100" w:before="80"/>
      </w:pPr>
      <w:r>
        <w:rPr>
          <w:rFonts w:ascii="Arial" w:cs="Arial" w:eastAsia="Arial" w:hAnsi="Arial"/>
          <w:sz w:val="22"/>
          <w:szCs w:val="22"/>
        </w:rPr>
        <w:t xml:space="preserve">Justificación de uso en UI: Roboto es la tipografía de referencia del sistema Material Design (Android/Google). Su diseño neo-grotesco garantiza legibilidad óptima en tamaños pequeños (12–16px), densidades altas y condiciones de baja luminosidad. Su extensa disponibilidad en todos los dispositivos elimina el riesgo de fallback tipográfico. Es la elección estándar para cuerpo de texto, campos de formulario, etiquetas y texto de ayuda.</w:t>
      </w:r>
    </w:p>
    <w:p>
      <w:pPr>
        <w:spacing w:after="60" w:before="60"/>
      </w:pPr>
    </w:p>
    <w:p>
      <w:pPr>
        <w:pStyle w:val="Heading2"/>
        <w:spacing w:after="120" w:before="300"/>
      </w:pPr>
      <w:r>
        <w:rPr>
          <w:rFonts w:ascii="Arial" w:cs="Arial" w:eastAsia="Arial" w:hAnsi="Arial"/>
          <w:b/>
          <w:bCs/>
          <w:color w:val="840505"/>
          <w:sz w:val="26"/>
          <w:szCs w:val="26"/>
        </w:rPr>
        <w:t xml:space="preserve">4.4 Jerarquía Tipográfica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w:t>
            </w:r>
          </w:p>
        </w:tc>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Peso</w:t>
            </w:r>
          </w:p>
        </w:tc>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Tamaño</w:t>
            </w:r>
          </w:p>
        </w:tc>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156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H1</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Pliant</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700 Bold</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32px / 2rem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Regal Navy #072F71</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Título principal de pantalla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600 SemiBold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24px / 1.5rem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Regal Navy #072F71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Título de sección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H3</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Pliant</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500 Medium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18px / 1.125rem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Maroon #840505</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Subtítulo, nombre de tarjeta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 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16px / 1rem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Sea Green #518555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Etiqueta de grupo, categoría</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 (Cuerpo)</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Roboto</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400 Regular</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16px / 1rem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Gris Oscuro #111827</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Texto corrido, descripciones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 Small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Roboto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 Regular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14px / 0.875rem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Gris Medio #6B7280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Texto de ayuda, metadatos</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Caption</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Roboto</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300 Light</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12px / 0.75rem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Gris Medio #6B7280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Leyendas, timestamps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Botón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Roboto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 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14px / 0.875rem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Blanco / Navy según estado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Texto de botones y CTAs</w:t>
            </w:r>
          </w:p>
        </w:tc>
      </w:tr>
    </w:tbl>
    <w:p>
      <w:pPr>
        <w:spacing w:after="60" w:before="60"/>
      </w:pPr>
    </w:p>
    <w:p>
      <w:pPr>
        <w:pStyle w:val="Heading2"/>
        <w:spacing w:after="120" w:before="300"/>
      </w:pPr>
      <w:r>
        <w:rPr>
          <w:rFonts w:ascii="Arial" w:cs="Arial" w:eastAsia="Arial" w:hAnsi="Arial"/>
          <w:b/>
          <w:bCs/>
          <w:color w:val="840505"/>
          <w:sz w:val="26"/>
          <w:szCs w:val="26"/>
        </w:rPr>
        <w:t xml:space="preserve">4.5 Lineamientos de Interlineado y Espaciado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Line-height cuerpo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 (160%) — garantiza legibilidad en párrafos largos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Line-height títulos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(120%) — compacto y de alto impacto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Letter-spacing H1–H2</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−0.02em (ligero tracking negativo para títulos grandes)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Letter-spacing botones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+0.04em (mejora legibilidad en mayúsculas y textos cortos)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Máximo caracteres por línea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75 caracteres — evita fatiga visual en párrafos</w:t>
            </w:r>
          </w:p>
        </w:tc>
      </w:tr>
    </w:tbl>
    <w:p>
      <w:pPr>
        <w:spacing w:after="60" w:before="60"/>
      </w:pPr>
    </w:p>
    <w:p>
      <w:r>
        <w:br w:type="page"/>
      </w:r>
    </w:p>
    <w:p>
      <w:pPr>
        <w:pStyle w:val="Heading1"/>
        <w:spacing w:after="200" w:before="400"/>
      </w:pPr>
      <w:r>
        <w:rPr>
          <w:rFonts w:ascii="Arial" w:cs="Arial" w:eastAsia="Arial" w:hAnsi="Arial"/>
          <w:b/>
          <w:bCs/>
          <w:color w:val="072F71"/>
          <w:sz w:val="34"/>
          <w:szCs w:val="34"/>
        </w:rPr>
        <w:t xml:space="preserve">5. Sistema de Diseño — UI Kit</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5.1 Botones</w:t>
      </w:r>
    </w:p>
    <w:p>
      <w:pPr>
        <w:spacing w:after="100" w:before="80"/>
      </w:pPr>
      <w:r>
        <w:rPr>
          <w:rFonts w:ascii="Arial" w:cs="Arial" w:eastAsia="Arial" w:hAnsi="Arial"/>
          <w:sz w:val="22"/>
          <w:szCs w:val="22"/>
        </w:rPr>
        <w:t xml:space="preserve">Los botones son el principal mecanismo de interacción. Se definen cuatro variantes y cuatro estados para cada una.</w:t>
      </w:r>
    </w:p>
    <w:p>
      <w:pPr>
        <w:spacing w:after="60" w:before="60"/>
      </w:pPr>
    </w:p>
    <w:p>
      <w:pPr>
        <w:spacing w:after="80" w:before="200"/>
      </w:pPr>
      <w:r>
        <w:rPr>
          <w:rFonts w:ascii="Arial" w:cs="Arial" w:eastAsia="Arial" w:hAnsi="Arial"/>
          <w:b/>
          <w:bCs/>
          <w:color w:val="518555"/>
          <w:sz w:val="22"/>
          <w:szCs w:val="22"/>
        </w:rPr>
        <w:t xml:space="preserve">5.1.1 Variantes de Botón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Variante</w:t>
            </w:r>
          </w:p>
        </w:tc>
        <w:tc>
          <w:tcPr>
            <w:tcW w:type="dxa" w:w="1872"/>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Fondo</w:t>
            </w:r>
          </w:p>
        </w:tc>
        <w:tc>
          <w:tcPr>
            <w:tcW w:type="dxa" w:w="1872"/>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w:t>
            </w:r>
          </w:p>
        </w:tc>
        <w:tc>
          <w:tcPr>
            <w:tcW w:type="dxa" w:w="1872"/>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Borde</w:t>
            </w:r>
          </w:p>
        </w:tc>
        <w:tc>
          <w:tcPr>
            <w:tcW w:type="dxa" w:w="1872"/>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recomendado</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Primary</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#072F71 Navy</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#FFFFFF Blanco</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Ninguno</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Acción principal: ver ruta segura, confirmar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Danger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#840505 Maroon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#FFFFFF Blanco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Ninguno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Acciones críticas: reportar incidente, zona peligrosa</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Secondary</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#FFFFFF Blanco</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#072F71 Navy</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1px #072F71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Acciones secundarias: cancelar, ver más información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Ghost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Transparente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#518555 Green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1px #518555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Acciones terciarias: filtros, opciones de vista</w:t>
            </w:r>
          </w:p>
        </w:tc>
      </w:tr>
    </w:tbl>
    <w:p>
      <w:pPr>
        <w:spacing w:after="60" w:before="60"/>
      </w:pPr>
    </w:p>
    <w:p>
      <w:pPr>
        <w:spacing w:after="80" w:before="200"/>
      </w:pPr>
      <w:r>
        <w:rPr>
          <w:rFonts w:ascii="Arial" w:cs="Arial" w:eastAsia="Arial" w:hAnsi="Arial"/>
          <w:b/>
          <w:bCs/>
          <w:color w:val="518555"/>
          <w:sz w:val="22"/>
          <w:szCs w:val="22"/>
        </w:rPr>
        <w:t xml:space="preserve">5.1.2 Estados de Botón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 Visual</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Cursor</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Indicación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Default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Estilo base según variante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pointer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Estado de reposo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Oscurecimiento 10% del fondo (filter: brightness(0.9))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pointer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Retroalimentación al pasar el mouse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Active / Pressed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Oscurecimiento 20% + escala 0.97 (transform: scale(0.97))</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pointer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Confirmación de clic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Focus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Anillo exterior 2px offset: color Tuscan Sun #F0C862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pointer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Accesibilidad teclado (WCAG 2.1 AA)</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Disabled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Opacidad 40%, fondo #6B7280 Gris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not-allowed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Acción no disponible en el contexto actual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Spinner inline izquierdo + texto "Cargando..."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Proceso en ejecución, no interrumpir</w:t>
            </w:r>
          </w:p>
        </w:tc>
      </w:tr>
    </w:tbl>
    <w:p>
      <w:pPr>
        <w:spacing w:after="60" w:before="60"/>
      </w:pPr>
    </w:p>
    <w:p>
      <w:pPr>
        <w:spacing w:after="80" w:before="200"/>
      </w:pPr>
      <w:r>
        <w:rPr>
          <w:rFonts w:ascii="Arial" w:cs="Arial" w:eastAsia="Arial" w:hAnsi="Arial"/>
          <w:b/>
          <w:bCs/>
          <w:color w:val="518555"/>
          <w:sz w:val="22"/>
          <w:szCs w:val="22"/>
        </w:rPr>
        <w:t xml:space="preserve">5.1.3 Especificaciones de Tamaño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Tamaño</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Padding</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Alto mínimo</w:t>
            </w:r>
          </w:p>
        </w:tc>
        <w:tc>
          <w:tcPr>
            <w:tcW w:type="dxa" w:w="234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Small (sm)</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8px 16px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32px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Acciones en listas y tablas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 (md)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12px 24px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40px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Estándar para pantallas móvil y desktop</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Large (lg)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16px 32px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48px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CTAs principales en hero y splash</w:t>
            </w:r>
          </w:p>
        </w:tc>
      </w:tr>
    </w:tbl>
    <w:p>
      <w:pPr>
        <w:spacing w:after="60" w:before="60"/>
      </w:pPr>
    </w:p>
    <w:p>
      <w:pPr>
        <w:pStyle w:val="Heading2"/>
        <w:spacing w:after="120" w:before="300"/>
      </w:pPr>
      <w:r>
        <w:rPr>
          <w:rFonts w:ascii="Arial" w:cs="Arial" w:eastAsia="Arial" w:hAnsi="Arial"/>
          <w:b/>
          <w:bCs/>
          <w:color w:val="840505"/>
          <w:sz w:val="26"/>
          <w:szCs w:val="26"/>
        </w:rPr>
        <w:t xml:space="preserve">5.2 Campos de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Alto del input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48px (táctil ≥ 44px, WCAG 2.5.5)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Padding interno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12px horizontal / 14px vertical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Borde default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1px solid #D1D5DB (Gris claro)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Borde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2px solid #072F71 (Regal Navy) + sombra 0 0 0 3px rgba(7,47,113,0.15)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Borde error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2px solid #840505 (Maroon)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Borde éxito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2px solid #518555 (Sea Green)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Fondo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#FFFFFF — nunca grises que confundan con campo deshabilitado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Placeholder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Roboto Regular 14px — #9CA3AF (Gris claro)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Label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Roboto Medium 14px — #111827 (Gris oscuro), posición fija encima del campo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Texto de ayuda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Roboto Regular 12px — #6B7280, debajo del campo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Texto de error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Roboto Regular 12px — #840505, con ícono ⚠ a la izquierda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Border radius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8px — consistente con el sistema de tarjetas</w:t>
            </w:r>
          </w:p>
        </w:tc>
      </w:tr>
    </w:tbl>
    <w:p>
      <w:pPr>
        <w:spacing w:after="60" w:before="60"/>
      </w:pPr>
    </w:p>
    <w:p>
      <w:pPr>
        <w:pStyle w:val="Heading2"/>
        <w:spacing w:after="120" w:before="300"/>
      </w:pPr>
      <w:r>
        <w:rPr>
          <w:rFonts w:ascii="Arial" w:cs="Arial" w:eastAsia="Arial" w:hAnsi="Arial"/>
          <w:b/>
          <w:bCs/>
          <w:color w:val="840505"/>
          <w:sz w:val="26"/>
          <w:szCs w:val="26"/>
        </w:rPr>
        <w:t xml:space="preserve">5.3 Grid y Espaciado</w:t>
      </w:r>
    </w:p>
    <w:p>
      <w:pPr>
        <w:spacing w:after="100" w:before="80"/>
      </w:pPr>
      <w:r>
        <w:rPr>
          <w:rFonts w:ascii="Arial" w:cs="Arial" w:eastAsia="Arial" w:hAnsi="Arial"/>
          <w:sz w:val="22"/>
          <w:szCs w:val="22"/>
        </w:rPr>
        <w:t xml:space="preserve">El sistema de espaciado utiliza una escala base de 8px (8px grid). Todos los espaciados son múltiplos de esta unidad.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 típico</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space-1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Espacio mínimo entre ícono y texto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space-2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Padding interno de badges y chips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space-3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12px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Padding de campos pequeños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space-4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Padding estándar de tarjetas, separación entre elementos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space-5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24px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Margen entre secciones dentro de una pantalla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space-6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Separación entre secciones de contenido distintas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space-8</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48px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Espacio entre bloques mayores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space-10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Márgenes de pantalla en desktop</w:t>
            </w:r>
          </w:p>
        </w:tc>
      </w:tr>
    </w:tbl>
    <w:p>
      <w:pPr>
        <w:spacing w:after="60" w:before="60"/>
      </w:pPr>
    </w:p>
    <w:p>
      <w:pPr>
        <w:pStyle w:val="Heading2"/>
        <w:spacing w:after="120" w:before="300"/>
      </w:pPr>
      <w:r>
        <w:rPr>
          <w:rFonts w:ascii="Arial" w:cs="Arial" w:eastAsia="Arial" w:hAnsi="Arial"/>
          <w:b/>
          <w:bCs/>
          <w:color w:val="840505"/>
          <w:sz w:val="26"/>
          <w:szCs w:val="26"/>
        </w:rPr>
        <w:t xml:space="preserve">5.4 Grid de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Móvil (&lt; 768px)</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columnas — gutter 16px — margen lateral 16px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Tablet (768px–1023px)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columnas — gutter 24px — margen lateral 32px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Desktop (≥ 1024px)</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 columnas — gutter 24px — margen lateral 64px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Ancho máximo de contenido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1280px centrado en pantallas muy anchas</w:t>
            </w:r>
          </w:p>
        </w:tc>
      </w:tr>
    </w:tbl>
    <w:p>
      <w:pPr>
        <w:spacing w:after="60" w:before="60"/>
      </w:pPr>
    </w:p>
    <w:p>
      <w:pPr>
        <w:pStyle w:val="Heading2"/>
        <w:spacing w:after="120" w:before="300"/>
      </w:pPr>
      <w:r>
        <w:rPr>
          <w:rFonts w:ascii="Arial" w:cs="Arial" w:eastAsia="Arial" w:hAnsi="Arial"/>
          <w:b/>
          <w:bCs/>
          <w:color w:val="840505"/>
          <w:sz w:val="26"/>
          <w:szCs w:val="26"/>
        </w:rPr>
        <w:t xml:space="preserve">5.5 Iconografía</w:t>
      </w:r>
    </w:p>
    <w:p>
      <w:pPr>
        <w:spacing w:after="100" w:before="80"/>
      </w:pPr>
      <w:r>
        <w:rPr>
          <w:rFonts w:ascii="Arial" w:cs="Arial" w:eastAsia="Arial" w:hAnsi="Arial"/>
          <w:sz w:val="22"/>
          <w:szCs w:val="22"/>
        </w:rPr>
        <w:t xml:space="preserve">La iconografía refuerza la comunicación de riesgo y navegación. Se adopta el sistema de línea (outlined) con excepciones filled para estados de alta prioridad.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Estilo base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Outlined (línea) — grosor de trazo: 1.5px a 24px, 2px a 16px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Estilo de alerta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Filled (relleno) — solo para íconos de peligro y advertencia activa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Tamaños disponibles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16px (inline texto), 20px (UI estándar), 24px (acciones), 32px (hero / vacíos)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Color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#6B7280 Gris Medio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Color activo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Según contexto: Navy para navegación, Maroon para alerta, Sea Green para seguro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Grid de construcción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24×24px con padding interno de 2px — zona segura de 20×20px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Biblioteca recomendada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Lucide Icons o Heroicons (outline) — consistentes con el estilo definido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Íconos propios de marca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Mapa con sendero, escudo con ruta, pin de peligro — construidos sobre el mismo grid</w:t>
            </w:r>
          </w:p>
        </w:tc>
      </w:tr>
    </w:tbl>
    <w:p>
      <w:pPr>
        <w:spacing w:after="60" w:before="60"/>
      </w:pPr>
    </w:p>
    <w:p>
      <w:pPr>
        <w:pStyle w:val="Heading2"/>
        <w:spacing w:after="120" w:before="300"/>
      </w:pPr>
      <w:r>
        <w:rPr>
          <w:rFonts w:ascii="Arial" w:cs="Arial" w:eastAsia="Arial" w:hAnsi="Arial"/>
          <w:b/>
          <w:bCs/>
          <w:color w:val="840505"/>
          <w:sz w:val="26"/>
          <w:szCs w:val="26"/>
        </w:rPr>
        <w:t xml:space="preserve">5.6 Tarjetas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Border radius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Sombra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1px 3px rgba(0,0,0,0.10), 0 1px 2px rgba(0,0,0,0.06)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Sombra hover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4px 12px rgba(0,0,0,0.15)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Fondo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 o #F5F7FA según jerarquía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Borde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1px solid #E5E7EB (Gris muy claro) — opcional según contexto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Padding interno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16px (sm), 24px (md), 32px (lg)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Indicador de riesgo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Franja lateral izquierda de 4px — Maroon (alto), Tuscan Sun (medio), Sea Green (bajo)</w:t>
            </w:r>
          </w:p>
        </w:tc>
      </w:tr>
    </w:tbl>
    <w:p>
      <w:pPr>
        <w:spacing w:after="60" w:before="60"/>
      </w:pPr>
    </w:p>
    <w:p>
      <w:r>
        <w:br w:type="page"/>
      </w:r>
    </w:p>
    <w:p>
      <w:pPr>
        <w:pStyle w:val="Heading1"/>
        <w:spacing w:after="200" w:before="400"/>
      </w:pPr>
      <w:r>
        <w:rPr>
          <w:rFonts w:ascii="Arial" w:cs="Arial" w:eastAsia="Arial" w:hAnsi="Arial"/>
          <w:b/>
          <w:bCs/>
          <w:color w:val="072F71"/>
          <w:sz w:val="34"/>
          <w:szCs w:val="34"/>
        </w:rPr>
        <w:t xml:space="preserve">6. Lineamientos de Responsividad</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6.1 Principio Mobile First</w:t>
      </w:r>
    </w:p>
    <w:p>
      <w:pPr>
        <w:spacing w:after="100" w:before="80"/>
      </w:pPr>
      <w:r>
        <w:rPr>
          <w:rFonts w:ascii="Arial" w:cs="Arial" w:eastAsia="Arial" w:hAnsi="Arial"/>
          <w:sz w:val="22"/>
          <w:szCs w:val="22"/>
        </w:rPr>
        <w:t xml:space="preserve">Rutas Inseguras es principalmente una herramienta de uso en movilidad. El diseño se construye primero para la pantalla de 375px (iPhone SE / Android estándar) y escala hacia arriba usando media queries. Nunca al revés.</w:t>
      </w:r>
    </w:p>
    <w:p>
      <w:pPr>
        <w:spacing w:after="60" w:before="60"/>
      </w:pPr>
    </w:p>
    <w:p>
      <w:pPr>
        <w:pStyle w:val="Heading2"/>
        <w:spacing w:after="120" w:before="300"/>
      </w:pPr>
      <w:r>
        <w:rPr>
          <w:rFonts w:ascii="Arial" w:cs="Arial" w:eastAsia="Arial" w:hAnsi="Arial"/>
          <w:b/>
          <w:bCs/>
          <w:color w:val="840505"/>
          <w:sz w:val="26"/>
          <w:szCs w:val="26"/>
        </w:rPr>
        <w:t xml:space="preserve">6.2 Puntos de Quiebre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Rango</w:t>
            </w:r>
          </w:p>
        </w:tc>
        <w:tc>
          <w:tcPr>
            <w:tcW w:type="dxa" w:w="3120"/>
            <w:tcBorders>
              <w:top w:val="single" w:color="CCCCCC" w:sz="1"/>
              <w:left w:val="single" w:color="CCCCCC" w:sz="1"/>
              <w:bottom w:val="single" w:color="CCCCCC" w:sz="1"/>
              <w:right w:val="single" w:color="CCCCCC" w:sz="1"/>
            </w:tcBorders>
            <w:shd w:fill="072F7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Dispositivo objetivo</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xs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0–374px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Dispositivos muy pequeños (legacy)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375px–767px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Smartphones estándar — diseño base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md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768px–1023px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Tablets y phablets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1024px–1279px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Laptops y desktops estándar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xl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 1280px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Pantallas grandes y monitores</w:t>
            </w:r>
          </w:p>
        </w:tc>
      </w:tr>
    </w:tbl>
    <w:p>
      <w:pPr>
        <w:spacing w:after="60" w:before="60"/>
      </w:pPr>
    </w:p>
    <w:p>
      <w:pPr>
        <w:pStyle w:val="Heading2"/>
        <w:spacing w:after="120" w:before="300"/>
      </w:pPr>
      <w:r>
        <w:rPr>
          <w:rFonts w:ascii="Arial" w:cs="Arial" w:eastAsia="Arial" w:hAnsi="Arial"/>
          <w:b/>
          <w:bCs/>
          <w:color w:val="840505"/>
          <w:sz w:val="26"/>
          <w:szCs w:val="26"/>
        </w:rPr>
        <w:t xml:space="preserve">6.3 Adaptaciones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Navbar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Móvil: hamburger menu (☰) + logotipo centrado. Desktop: navegación horizontal completa.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Mapa 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Móvil: pantalla completa (100vw × 100vh), controles flotantes. Desktop: panel lateral 360px + mapa en el resto.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Botones CTA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Móvil: ancho completo (width: 100%). Desktop: ancho automático con padding generoso.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Tarjetas de ruta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Móvil: listado vertical, scroll. Desktop: grid de 2–3 columnas.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Tipografía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Móvil: H1 a 24px, H2 a 20px. Desktop: H1 a 32px, H2 a 24px (escala relativa).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Íconos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Móvil: 24px para tap targets (mínimo 44×44px). Desktop: 20px suficiente.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Inputs y formularios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Móvil: width 100% en todos los campos. Desktop: máximo 480px por campo en formularios standalone.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Alertas de peligro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Siempre ancho completo independientemente del breakpoint — máxima visibilidad.</w:t>
            </w:r>
          </w:p>
        </w:tc>
      </w:tr>
    </w:tbl>
    <w:p>
      <w:pPr>
        <w:spacing w:after="60" w:before="60"/>
      </w:pPr>
    </w:p>
    <w:p>
      <w:pPr>
        <w:pStyle w:val="Heading2"/>
        <w:spacing w:after="120" w:before="300"/>
      </w:pPr>
      <w:r>
        <w:rPr>
          <w:rFonts w:ascii="Arial" w:cs="Arial" w:eastAsia="Arial" w:hAnsi="Arial"/>
          <w:b/>
          <w:bCs/>
          <w:color w:val="840505"/>
          <w:sz w:val="26"/>
          <w:szCs w:val="26"/>
        </w:rPr>
        <w:t xml:space="preserve">6.4 Accesibilidad</w:t>
      </w:r>
    </w:p>
    <w:p>
      <w:pPr>
        <w:pStyle w:val="ListParagraph"/>
        <w:numPr>
          <w:ilvl w:val="0"/>
          <w:numId w:val="2"/>
        </w:numPr>
        <w:spacing w:after="60" w:before="60"/>
      </w:pPr>
      <w:r>
        <w:rPr>
          <w:rFonts w:ascii="Arial" w:cs="Arial" w:eastAsia="Arial" w:hAnsi="Arial"/>
          <w:sz w:val="22"/>
          <w:szCs w:val="22"/>
        </w:rPr>
        <w:t xml:space="preserve">Contraste mínimo de color para texto: 4.5:1 (WCAG 2.1 Nivel AA).</w:t>
      </w:r>
    </w:p>
    <w:p>
      <w:pPr>
        <w:pStyle w:val="ListParagraph"/>
        <w:numPr>
          <w:ilvl w:val="0"/>
          <w:numId w:val="2"/>
        </w:numPr>
        <w:spacing w:after="60" w:before="60"/>
      </w:pPr>
      <w:r>
        <w:rPr>
          <w:rFonts w:ascii="Arial" w:cs="Arial" w:eastAsia="Arial" w:hAnsi="Arial"/>
          <w:sz w:val="22"/>
          <w:szCs w:val="22"/>
        </w:rPr>
        <w:t xml:space="preserve">Contraste para texto grande (≥18px bold): mínimo 3:1.</w:t>
      </w:r>
    </w:p>
    <w:p>
      <w:pPr>
        <w:pStyle w:val="ListParagraph"/>
        <w:numPr>
          <w:ilvl w:val="0"/>
          <w:numId w:val="2"/>
        </w:numPr>
        <w:spacing w:after="60" w:before="60"/>
      </w:pPr>
      <w:r>
        <w:rPr>
          <w:rFonts w:ascii="Arial" w:cs="Arial" w:eastAsia="Arial" w:hAnsi="Arial"/>
          <w:sz w:val="22"/>
          <w:szCs w:val="22"/>
        </w:rPr>
        <w:t xml:space="preserve">Todos los íconos funcionales incluyen aria-label o texto visible alternativo.</w:t>
      </w:r>
    </w:p>
    <w:p>
      <w:pPr>
        <w:pStyle w:val="ListParagraph"/>
        <w:numPr>
          <w:ilvl w:val="0"/>
          <w:numId w:val="2"/>
        </w:numPr>
        <w:spacing w:after="60" w:before="60"/>
      </w:pPr>
      <w:r>
        <w:rPr>
          <w:rFonts w:ascii="Arial" w:cs="Arial" w:eastAsia="Arial" w:hAnsi="Arial"/>
          <w:sz w:val="22"/>
          <w:szCs w:val="22"/>
        </w:rPr>
        <w:t xml:space="preserve">Los elementos interactivos tienen área táctil mínima de 44×44px.</w:t>
      </w:r>
    </w:p>
    <w:p>
      <w:pPr>
        <w:pStyle w:val="ListParagraph"/>
        <w:numPr>
          <w:ilvl w:val="0"/>
          <w:numId w:val="2"/>
        </w:numPr>
        <w:spacing w:after="60" w:before="60"/>
      </w:pPr>
      <w:r>
        <w:rPr>
          <w:rFonts w:ascii="Arial" w:cs="Arial" w:eastAsia="Arial" w:hAnsi="Arial"/>
          <w:sz w:val="22"/>
          <w:szCs w:val="22"/>
        </w:rPr>
        <w:t xml:space="preserve">Los estados de foco son visibles (no se suprime outline en modo teclado).</w:t>
      </w:r>
    </w:p>
    <w:p>
      <w:pPr>
        <w:pStyle w:val="ListParagraph"/>
        <w:numPr>
          <w:ilvl w:val="0"/>
          <w:numId w:val="2"/>
        </w:numPr>
        <w:spacing w:after="60" w:before="60"/>
      </w:pPr>
      <w:r>
        <w:rPr>
          <w:rFonts w:ascii="Arial" w:cs="Arial" w:eastAsia="Arial" w:hAnsi="Arial"/>
          <w:sz w:val="22"/>
          <w:szCs w:val="22"/>
        </w:rPr>
        <w:t xml:space="preserve">Los colores nunca son el único diferenciador de información — siempre acompañados de texto o ícono.</w:t>
      </w:r>
    </w:p>
    <w:p>
      <w:pPr>
        <w:spacing w:after="60" w:before="60"/>
      </w:pPr>
    </w:p>
    <w:p>
      <w:r>
        <w:br w:type="page"/>
      </w:r>
    </w:p>
    <w:p>
      <w:pPr>
        <w:pStyle w:val="Heading1"/>
        <w:spacing w:after="200" w:before="400"/>
      </w:pPr>
      <w:r>
        <w:rPr>
          <w:rFonts w:ascii="Arial" w:cs="Arial" w:eastAsia="Arial" w:hAnsi="Arial"/>
          <w:b/>
          <w:bCs/>
          <w:color w:val="072F71"/>
          <w:sz w:val="34"/>
          <w:szCs w:val="34"/>
        </w:rPr>
        <w:t xml:space="preserve">7. Aplicaciones de Marca</w:t>
      </w:r>
    </w:p>
    <w:p>
      <w:pPr>
        <w:pBdr>
          <w:bottom w:val="single" w:color="072F71" w:sz="4" w:space="1"/>
        </w:pBdr>
        <w:spacing w:after="80" w:before="80"/>
      </w:pPr>
    </w:p>
    <w:p>
      <w:pPr>
        <w:spacing w:after="60" w:before="60"/>
      </w:pPr>
    </w:p>
    <w:p>
      <w:pPr>
        <w:pStyle w:val="Heading2"/>
        <w:spacing w:after="120" w:before="300"/>
      </w:pPr>
      <w:r>
        <w:rPr>
          <w:rFonts w:ascii="Arial" w:cs="Arial" w:eastAsia="Arial" w:hAnsi="Arial"/>
          <w:b/>
          <w:bCs/>
          <w:color w:val="840505"/>
          <w:sz w:val="26"/>
          <w:szCs w:val="26"/>
        </w:rPr>
        <w:t xml:space="preserve">7.1 Interfaz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Fondo global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#FFFFFF con secciones alternas en #F5F7FA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Barra de navegación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#072F71 (Navy), íconos y texto en #FFFFFF</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Mapa base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Estilo oscuro (dark mode) con overlays de calor para zonas de riesgo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Zonas de alto riesgo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 rojo translúcido (rgba(132,5,5,0.35))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Zonas de riesgo medio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Overlay amarillo translúcido (rgba(240,200,98,0.35))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Zonas seguras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 verde translúcido (rgba(81,133,85,0.25))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Ruta recomendada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Línea continua Navy #072F71, grosor 4px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Ruta alternativa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 punteada Sea Green #518555, grosor 3px</w:t>
            </w:r>
          </w:p>
        </w:tc>
      </w:tr>
    </w:tbl>
    <w:p>
      <w:pPr>
        <w:spacing w:after="60" w:before="60"/>
      </w:pPr>
    </w:p>
    <w:p>
      <w:pPr>
        <w:pStyle w:val="Heading2"/>
        <w:spacing w:after="120" w:before="300"/>
      </w:pPr>
      <w:r>
        <w:rPr>
          <w:rFonts w:ascii="Arial" w:cs="Arial" w:eastAsia="Arial" w:hAnsi="Arial"/>
          <w:b/>
          <w:bCs/>
          <w:color w:val="840505"/>
          <w:sz w:val="26"/>
          <w:szCs w:val="26"/>
        </w:rPr>
        <w:t xml:space="preserve">7.2 Notificaciones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Alerta crítica (zona peligrosa)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Ícono: escudo rojo — Título en Maroon #840505 — Máxima prioridad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Alerta de precaución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Ícono: triángulo amarillo — Título en Tuscan Sun #F0C862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Confirmación de ruta segura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Ícono: check verde — Título en Sea Green #518555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Información de sistema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Ícono: i azul — Título en Regal Navy #072F71</w:t>
            </w:r>
          </w:p>
        </w:tc>
      </w:tr>
    </w:tbl>
    <w:p>
      <w:pPr>
        <w:spacing w:after="60" w:before="60"/>
      </w:pPr>
    </w:p>
    <w:p>
      <w:pPr>
        <w:pStyle w:val="Heading2"/>
        <w:spacing w:after="120" w:before="300"/>
      </w:pPr>
      <w:r>
        <w:rPr>
          <w:rFonts w:ascii="Arial" w:cs="Arial" w:eastAsia="Arial" w:hAnsi="Arial"/>
          <w:b/>
          <w:bCs/>
          <w:color w:val="840505"/>
          <w:sz w:val="26"/>
          <w:szCs w:val="26"/>
        </w:rPr>
        <w:t xml:space="preserve">7.3 Splash Screen</w:t>
      </w:r>
    </w:p>
    <w:p>
      <w:pPr>
        <w:pStyle w:val="ListParagraph"/>
        <w:numPr>
          <w:ilvl w:val="0"/>
          <w:numId w:val="2"/>
        </w:numPr>
        <w:spacing w:after="60" w:before="60"/>
      </w:pPr>
      <w:r>
        <w:rPr>
          <w:rFonts w:ascii="Arial" w:cs="Arial" w:eastAsia="Arial" w:hAnsi="Arial"/>
          <w:sz w:val="22"/>
          <w:szCs w:val="22"/>
        </w:rPr>
        <w:t xml:space="preserve">Fondo: Regal Navy #072F71.</w:t>
      </w:r>
    </w:p>
    <w:p>
      <w:pPr>
        <w:pStyle w:val="ListParagraph"/>
        <w:numPr>
          <w:ilvl w:val="0"/>
          <w:numId w:val="2"/>
        </w:numPr>
        <w:spacing w:after="60" w:before="60"/>
      </w:pPr>
      <w:r>
        <w:rPr>
          <w:rFonts w:ascii="Arial" w:cs="Arial" w:eastAsia="Arial" w:hAnsi="Arial"/>
          <w:sz w:val="22"/>
          <w:szCs w:val="22"/>
        </w:rPr>
        <w:t xml:space="preserve">Logotipo: versión negativa (blanco) centrado verticalmente.</w:t>
      </w:r>
    </w:p>
    <w:p>
      <w:pPr>
        <w:pStyle w:val="ListParagraph"/>
        <w:numPr>
          <w:ilvl w:val="0"/>
          <w:numId w:val="2"/>
        </w:numPr>
        <w:spacing w:after="60" w:before="60"/>
      </w:pPr>
      <w:r>
        <w:rPr>
          <w:rFonts w:ascii="Arial" w:cs="Arial" w:eastAsia="Arial" w:hAnsi="Arial"/>
          <w:sz w:val="22"/>
          <w:szCs w:val="22"/>
        </w:rPr>
        <w:t xml:space="preserve">Eslogan: "Movilízate con información" en Roboto Light, color #F0C862 Tuscan Sun.</w:t>
      </w:r>
    </w:p>
    <w:p>
      <w:pPr>
        <w:pStyle w:val="ListParagraph"/>
        <w:numPr>
          <w:ilvl w:val="0"/>
          <w:numId w:val="2"/>
        </w:numPr>
        <w:spacing w:after="60" w:before="60"/>
      </w:pPr>
      <w:r>
        <w:rPr>
          <w:rFonts w:ascii="Arial" w:cs="Arial" w:eastAsia="Arial" w:hAnsi="Arial"/>
          <w:sz w:val="22"/>
          <w:szCs w:val="22"/>
        </w:rPr>
        <w:t xml:space="preserve">Animación: aparición del sendero del logotipo de izquierda a derecha (stroke-dashoffset), duración 1.2s.</w:t>
      </w:r>
    </w:p>
    <w:p>
      <w:pPr>
        <w:spacing w:after="60" w:before="60"/>
      </w:pPr>
    </w:p>
    <w:p>
      <w:r>
        <w:br w:type="page"/>
      </w:r>
    </w:p>
    <w:p>
      <w:pPr>
        <w:pStyle w:val="Heading1"/>
        <w:spacing w:after="200" w:before="400"/>
      </w:pPr>
      <w:r>
        <w:rPr>
          <w:rFonts w:ascii="Arial" w:cs="Arial" w:eastAsia="Arial" w:hAnsi="Arial"/>
          <w:b/>
          <w:bCs/>
          <w:color w:val="072F71"/>
          <w:sz w:val="34"/>
          <w:szCs w:val="34"/>
        </w:rPr>
        <w:t xml:space="preserve">8. Glosario</w:t>
      </w:r>
    </w:p>
    <w:p>
      <w:pPr>
        <w:pBdr>
          <w:bottom w:val="single" w:color="072F71" w:sz="4"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DXA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Unidad de medida en documentos .docx (1440 DXA = 1 pulgada).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EMU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Metric Unit — unidad de posicionamiento de imágenes en Office (914400 EMU = 1 pulgada).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HEX</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Sistema hexadecimal para representar colores RGB (#RRGGBB).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WCAG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Content Accessibility Guidelines — estándares internacionales de accesibilidad web.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CTA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Call To Action — elemento interactivo que invita al usuario a realizar una acción.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UI Kit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Conjunto de componentes visuales estandarizados para construir interfaces de usuario.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Breakpoint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Punto de quiebre de ancho de pantalla donde el diseño se adapta.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72F71"/>
                <w:sz w:val="20"/>
                <w:szCs w:val="20"/>
              </w:rPr>
              <w:t xml:space="preserv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de diseño (color, tamaño, espacio) definida una vez y reutilizada en todo el sistema.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72F71"/>
                <w:sz w:val="20"/>
                <w:szCs w:val="20"/>
              </w:rPr>
              <w:t xml:space="preserve">Overlay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Capa de color semitransparente que se superpone al mapa para indicar zonas de riesgo.</w:t>
            </w:r>
          </w:p>
        </w:tc>
      </w:tr>
    </w:tbl>
    <w:p>
      <w:pPr>
        <w:spacing w:after="60" w:before="60"/>
      </w:pPr>
    </w:p>
    <w:p>
      <w:pPr>
        <w:pBdr>
          <w:bottom w:val="single" w:color="072F71" w:sz="4" w:space="1"/>
        </w:pBdr>
        <w:spacing w:after="80" w:before="80"/>
      </w:pPr>
    </w:p>
    <w:p>
      <w:pPr>
        <w:spacing w:after="80" w:before="160"/>
        <w:jc w:val="center"/>
      </w:pPr>
      <w:r>
        <w:rPr>
          <w:rFonts w:ascii="Arial" w:cs="Arial" w:eastAsia="Arial" w:hAnsi="Arial"/>
          <w:color w:val="888888"/>
          <w:sz w:val="18"/>
          <w:szCs w:val="18"/>
        </w:rPr>
        <w:t xml:space="preserve">Manual de Identidad Visual — Rutas Inseguras v1.0  |  Medellín, Colombia,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72F71"/>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84050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2026-06-17T22:21:30.132Z</dcterms:created>
  <dcterms:modified xsi:type="dcterms:W3CDTF">2026-06-17T22:21:30.133Z</dcterms:modified>
</cp:coreProperties>
</file>

<file path=docProps/custom.xml><?xml version="1.0" encoding="utf-8"?>
<Properties xmlns="http://schemas.openxmlformats.org/officeDocument/2006/custom-properties" xmlns:vt="http://schemas.openxmlformats.org/officeDocument/2006/docPropsVTypes"/>
</file>