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EF18A" w14:textId="68D1624D" w:rsidR="004E06F3" w:rsidRPr="00460D49" w:rsidRDefault="00C31A14" w:rsidP="00C31A14">
      <w:pPr>
        <w:jc w:val="center"/>
        <w:rPr>
          <w:rFonts w:ascii="Times New Roman" w:hAnsi="Times New Roman" w:cs="Times New Roman"/>
        </w:rPr>
      </w:pPr>
      <w:r w:rsidRPr="001636AD">
        <w:rPr>
          <w:rFonts w:ascii="Times New Roman" w:hAnsi="Times New Roman" w:cs="Times New Roman"/>
          <w:b/>
          <w:bCs/>
          <w:u w:val="single"/>
        </w:rPr>
        <w:t xml:space="preserve">Avance </w:t>
      </w:r>
      <w:r w:rsidR="00460D49">
        <w:rPr>
          <w:rFonts w:ascii="Times New Roman" w:hAnsi="Times New Roman" w:cs="Times New Roman"/>
          <w:b/>
          <w:bCs/>
          <w:u w:val="single"/>
        </w:rPr>
        <w:t>calificado</w:t>
      </w:r>
    </w:p>
    <w:p w14:paraId="21FED901" w14:textId="77777777" w:rsidR="009A3622" w:rsidRDefault="009A3622" w:rsidP="00C31A14">
      <w:pPr>
        <w:rPr>
          <w:rFonts w:ascii="Times New Roman" w:hAnsi="Times New Roman" w:cs="Times New Roman"/>
          <w:b/>
          <w:bCs/>
        </w:rPr>
      </w:pPr>
    </w:p>
    <w:p w14:paraId="4FF305E6" w14:textId="393629AA" w:rsidR="009A3622" w:rsidRPr="009A3622" w:rsidRDefault="00460D49" w:rsidP="00C31A14">
      <w:pPr>
        <w:rPr>
          <w:rFonts w:ascii="Times New Roman" w:hAnsi="Times New Roman" w:cs="Times New Roman"/>
        </w:rPr>
      </w:pPr>
      <w:r>
        <w:rPr>
          <w:rFonts w:ascii="Times New Roman" w:hAnsi="Times New Roman" w:cs="Times New Roman"/>
          <w:b/>
          <w:bCs/>
        </w:rPr>
        <w:t xml:space="preserve">Alumno: </w:t>
      </w:r>
      <w:r w:rsidRPr="009A3622">
        <w:rPr>
          <w:rFonts w:ascii="Times New Roman" w:hAnsi="Times New Roman" w:cs="Times New Roman"/>
        </w:rPr>
        <w:t xml:space="preserve">Charles Gabriel Sánchez Salas </w:t>
      </w:r>
    </w:p>
    <w:p w14:paraId="65E23027" w14:textId="3B79ADBA" w:rsidR="00DF7A8F" w:rsidRDefault="00460D49" w:rsidP="003C7D86">
      <w:pPr>
        <w:spacing w:line="360" w:lineRule="auto"/>
        <w:jc w:val="both"/>
        <w:rPr>
          <w:rFonts w:ascii="Times New Roman" w:hAnsi="Times New Roman" w:cs="Times New Roman"/>
        </w:rPr>
      </w:pPr>
      <w:r w:rsidRPr="009A3622">
        <w:rPr>
          <w:rFonts w:ascii="Times New Roman" w:hAnsi="Times New Roman" w:cs="Times New Roman"/>
          <w:b/>
          <w:bCs/>
        </w:rPr>
        <w:t>Tema:</w:t>
      </w:r>
      <w:r w:rsidR="00DF7A8F" w:rsidRPr="009A3622">
        <w:rPr>
          <w:rFonts w:ascii="Times New Roman" w:hAnsi="Times New Roman" w:cs="Times New Roman"/>
        </w:rPr>
        <w:t xml:space="preserve"> </w:t>
      </w:r>
      <w:r w:rsidR="00765D72">
        <w:rPr>
          <w:rFonts w:ascii="Times New Roman" w:hAnsi="Times New Roman" w:cs="Times New Roman"/>
        </w:rPr>
        <w:t xml:space="preserve">Formulación de políticas </w:t>
      </w:r>
      <w:r w:rsidR="00DF7A8F" w:rsidRPr="009A3622">
        <w:rPr>
          <w:rFonts w:ascii="Times New Roman" w:hAnsi="Times New Roman" w:cs="Times New Roman"/>
        </w:rPr>
        <w:t xml:space="preserve">anticorrupción en el Perú </w:t>
      </w:r>
    </w:p>
    <w:p w14:paraId="177460B1" w14:textId="066D3AB5" w:rsidR="009A3622" w:rsidRDefault="009A3622" w:rsidP="003C7D86">
      <w:pPr>
        <w:spacing w:line="360" w:lineRule="auto"/>
        <w:jc w:val="both"/>
        <w:rPr>
          <w:rFonts w:ascii="Times New Roman" w:hAnsi="Times New Roman" w:cs="Times New Roman"/>
        </w:rPr>
      </w:pPr>
      <w:r w:rsidRPr="009A3622">
        <w:rPr>
          <w:rFonts w:ascii="Times New Roman" w:hAnsi="Times New Roman" w:cs="Times New Roman"/>
          <w:b/>
          <w:bCs/>
        </w:rPr>
        <w:t xml:space="preserve">Caso: </w:t>
      </w:r>
      <w:r>
        <w:rPr>
          <w:rFonts w:ascii="Times New Roman" w:hAnsi="Times New Roman" w:cs="Times New Roman"/>
        </w:rPr>
        <w:t xml:space="preserve">Directiva N°017-2023-CG/GMLP </w:t>
      </w:r>
    </w:p>
    <w:p w14:paraId="5A25BB11" w14:textId="21E0D37C" w:rsidR="009A3622" w:rsidRDefault="009A3622" w:rsidP="003C7D86">
      <w:pPr>
        <w:spacing w:line="360" w:lineRule="auto"/>
        <w:jc w:val="both"/>
        <w:rPr>
          <w:rFonts w:ascii="Times New Roman" w:hAnsi="Times New Roman" w:cs="Times New Roman"/>
        </w:rPr>
      </w:pPr>
      <w:r w:rsidRPr="009A3622">
        <w:rPr>
          <w:rFonts w:ascii="Times New Roman" w:hAnsi="Times New Roman" w:cs="Times New Roman"/>
          <w:b/>
          <w:bCs/>
        </w:rPr>
        <w:t>Pregunta:</w:t>
      </w:r>
      <w:r>
        <w:rPr>
          <w:rFonts w:ascii="Times New Roman" w:hAnsi="Times New Roman" w:cs="Times New Roman"/>
        </w:rPr>
        <w:t xml:space="preserve"> ¿Qué factores explican la actualización de la directiva que regula la ejecución de obras por administración directa en el Perú (2016-2023)? </w:t>
      </w:r>
    </w:p>
    <w:p w14:paraId="0244EABF" w14:textId="3521DF7B" w:rsidR="009A3622" w:rsidRDefault="009A3622" w:rsidP="009A3622">
      <w:pPr>
        <w:spacing w:line="360" w:lineRule="auto"/>
        <w:jc w:val="both"/>
        <w:rPr>
          <w:rFonts w:ascii="Times New Roman" w:hAnsi="Times New Roman" w:cs="Times New Roman"/>
          <w:sz w:val="24"/>
          <w:szCs w:val="24"/>
        </w:rPr>
      </w:pPr>
      <w:r>
        <w:rPr>
          <w:rFonts w:ascii="Times New Roman" w:hAnsi="Times New Roman" w:cs="Times New Roman"/>
        </w:rPr>
        <w:t xml:space="preserve">En diciembre del año 2023, la Contraloría General de la República aprobó la directiva N°017-2023-CG/GMLP que regula el proceso de ejecución de obras por administración directa, como una medida para combatir la ineficiencia y la corrupción en este tipo de obras. Bajo esta modalidad, la entidad pública puede ejecutar una obra utilizando sus propios recursos logísticos, humanos y presupuestales </w:t>
      </w:r>
      <w:r w:rsidRPr="003C7D86">
        <w:rPr>
          <w:rFonts w:ascii="Times New Roman" w:hAnsi="Times New Roman" w:cs="Times New Roman"/>
        </w:rPr>
        <w:t>(Resolución de Contraloría N°195-88 1988)</w:t>
      </w:r>
      <w:r>
        <w:rPr>
          <w:rFonts w:ascii="Times New Roman" w:hAnsi="Times New Roman" w:cs="Times New Roman"/>
        </w:rPr>
        <w:t>.</w:t>
      </w:r>
      <w:r>
        <w:rPr>
          <w:rFonts w:ascii="Times New Roman" w:hAnsi="Times New Roman" w:cs="Times New Roman"/>
        </w:rPr>
        <w:t xml:space="preserve"> Anteriormente, esta modalidad venía siendo regulada por la resolución de contraloría N°195-88 con una vigencia de más de 35 años, resistiéndose a modificaciones, como la </w:t>
      </w:r>
      <w:r w:rsidRPr="009A3622">
        <w:rPr>
          <w:rFonts w:ascii="Times New Roman" w:hAnsi="Times New Roman" w:cs="Times New Roman"/>
          <w:lang w:val="es-419"/>
        </w:rPr>
        <w:t>Ley N°31876 que fue aprobada el 23 de septiembre del 2023 y derogada el 17 de octubre del mismo año</w:t>
      </w:r>
      <w:r>
        <w:rPr>
          <w:rFonts w:ascii="Times New Roman" w:hAnsi="Times New Roman" w:cs="Times New Roman"/>
          <w:lang w:val="es-419"/>
        </w:rPr>
        <w:t xml:space="preserve">. La nueva regulación, en contraposición con su predecesora, ofrece un marco normativo más preciso para la ejecución de obras bajo esta modalidad, las cuales vienen mostrando altos niveles de ineficiencia. </w:t>
      </w:r>
      <w:r>
        <w:rPr>
          <w:rFonts w:ascii="Times New Roman" w:hAnsi="Times New Roman" w:cs="Times New Roman"/>
          <w:sz w:val="24"/>
          <w:szCs w:val="24"/>
        </w:rPr>
        <w:t xml:space="preserve">Por ejemplo, el año pasado se reportó que, de las 2324 obras paralizadas a nivel nacional, 1215 han sido ejecutadas por administración directa, representando un monto de inversión de S/ 1 mil 873 millones (Contraloría General de la República, 2024). En esa línea, se ha revelado que más del 95% de obras ejecutadas bajo esta modalidad terminan con ampliaciones de plazo, en donde en el 83% de los casos se presenta una ampliación promedio mayor a 4 años, y que muchas de las obras presentan sobrecostos injustificados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{"citationID":"Vr8h0H1T","properties":{"formattedCitation":"(ContraloriaTV, 2023)","plainCitation":"(ContraloriaTV, 2023)","dontUpdate":true,"noteIndex":0},"citationItems":[{"id":42,"uris":["http://zotero.org/users/13999345/items/VANELKBQ"],"itemData":{"id":42,"type":"motion_picture","abstract":"El contralor Nelson Shack expresó que las obras por administración directa son alternativas legítimas para los gestores públicos, pero que esta modalidad no debe aplicarse para realizar obras como hospitales, colegios o importantes vías porque la gestión regional y local no cuentan con la capacidad logística ni profesional para hacerse cargo de esas intervenciones.\n\n</w:instrText>
      </w:r>
      <w:r>
        <w:rPr>
          <w:rFonts w:ascii="Segoe UI Emoji" w:hAnsi="Segoe UI Emoji" w:cs="Segoe UI Emoji"/>
          <w:sz w:val="24"/>
          <w:szCs w:val="24"/>
        </w:rPr>
        <w:instrText>📲</w:instrText>
      </w:r>
      <w:r>
        <w:rPr>
          <w:rFonts w:ascii="Times New Roman" w:hAnsi="Times New Roman" w:cs="Times New Roman"/>
          <w:sz w:val="24"/>
          <w:szCs w:val="24"/>
        </w:rPr>
        <w:instrText xml:space="preserve"> Síguenos en:\n</w:instrText>
      </w:r>
      <w:r>
        <w:rPr>
          <w:rFonts w:ascii="Segoe UI Emoji" w:hAnsi="Segoe UI Emoji" w:cs="Segoe UI Emoji"/>
          <w:sz w:val="24"/>
          <w:szCs w:val="24"/>
        </w:rPr>
        <w:instrText>💻</w:instrText>
      </w:r>
      <w:r>
        <w:rPr>
          <w:rFonts w:ascii="Times New Roman" w:hAnsi="Times New Roman" w:cs="Times New Roman"/>
          <w:sz w:val="24"/>
          <w:szCs w:val="24"/>
        </w:rPr>
        <w:instrText xml:space="preserve"> www.gob.pe/contraloria \n</w:instrText>
      </w:r>
      <w:r>
        <w:rPr>
          <w:rFonts w:ascii="Segoe UI Emoji" w:hAnsi="Segoe UI Emoji" w:cs="Segoe UI Emoji"/>
          <w:sz w:val="24"/>
          <w:szCs w:val="24"/>
        </w:rPr>
        <w:instrText>🔴</w:instrText>
      </w:r>
      <w:r>
        <w:rPr>
          <w:rFonts w:ascii="Times New Roman" w:hAnsi="Times New Roman" w:cs="Times New Roman"/>
          <w:sz w:val="24"/>
          <w:szCs w:val="24"/>
        </w:rPr>
        <w:instrText xml:space="preserve"> Tik Tok:   / contraloriaperu  \n</w:instrText>
      </w:r>
      <w:r>
        <w:rPr>
          <w:rFonts w:ascii="Segoe UI Emoji" w:hAnsi="Segoe UI Emoji" w:cs="Segoe UI Emoji"/>
          <w:sz w:val="24"/>
          <w:szCs w:val="24"/>
        </w:rPr>
        <w:instrText>🔴</w:instrText>
      </w:r>
      <w:r>
        <w:rPr>
          <w:rFonts w:ascii="Times New Roman" w:hAnsi="Times New Roman" w:cs="Times New Roman"/>
          <w:sz w:val="24"/>
          <w:szCs w:val="24"/>
        </w:rPr>
        <w:instrText xml:space="preserve"> Facebook:   / contraloriadelperu  \n</w:instrText>
      </w:r>
      <w:r>
        <w:rPr>
          <w:rFonts w:ascii="Segoe UI Emoji" w:hAnsi="Segoe UI Emoji" w:cs="Segoe UI Emoji"/>
          <w:sz w:val="24"/>
          <w:szCs w:val="24"/>
        </w:rPr>
        <w:instrText>🔴</w:instrText>
      </w:r>
      <w:r>
        <w:rPr>
          <w:rFonts w:ascii="Times New Roman" w:hAnsi="Times New Roman" w:cs="Times New Roman"/>
          <w:sz w:val="24"/>
          <w:szCs w:val="24"/>
        </w:rPr>
        <w:instrText xml:space="preserve"> Twitter:   / contraloriaperu  \n</w:instrText>
      </w:r>
      <w:r>
        <w:rPr>
          <w:rFonts w:ascii="Segoe UI Emoji" w:hAnsi="Segoe UI Emoji" w:cs="Segoe UI Emoji"/>
          <w:sz w:val="24"/>
          <w:szCs w:val="24"/>
        </w:rPr>
        <w:instrText>🔴</w:instrText>
      </w:r>
      <w:r>
        <w:rPr>
          <w:rFonts w:ascii="Times New Roman" w:hAnsi="Times New Roman" w:cs="Times New Roman"/>
          <w:sz w:val="24"/>
          <w:szCs w:val="24"/>
        </w:rPr>
        <w:instrText xml:space="preserve"> Instagram:   / contraloriadelperu","dimensions":"3:24","source":"YouTube","title":"Puntos de Vista | Obras por Administración Directa: una urgente problemática por resolver","title-short":"Puntos de Vista | Obras por Administración Directa","URL":"https://www.youtube.com/watch?v=cIOb6-nVIjo","director":[{"literal":"ContraloriaTV"}],"accessed":{"date-parts":[["2024",4,23]]},"issued":{"date-parts":[["2023",10,4]]}}}],"schema":"https://github.com/citation-style-language/schema/raw/master/csl-citation.json"} </w:instrText>
      </w:r>
      <w:r>
        <w:rPr>
          <w:rFonts w:ascii="Times New Roman" w:hAnsi="Times New Roman" w:cs="Times New Roman"/>
          <w:sz w:val="24"/>
          <w:szCs w:val="24"/>
        </w:rPr>
        <w:fldChar w:fldCharType="separate"/>
      </w:r>
      <w:r w:rsidRPr="009B370F">
        <w:rPr>
          <w:rFonts w:ascii="Times New Roman" w:hAnsi="Times New Roman" w:cs="Times New Roman"/>
          <w:sz w:val="24"/>
        </w:rPr>
        <w:t>(ContraloriaTV</w:t>
      </w:r>
      <w:r>
        <w:rPr>
          <w:rFonts w:ascii="Times New Roman" w:hAnsi="Times New Roman" w:cs="Times New Roman"/>
          <w:sz w:val="24"/>
        </w:rPr>
        <w:t xml:space="preserve"> </w:t>
      </w:r>
      <w:r w:rsidRPr="009B370F">
        <w:rPr>
          <w:rFonts w:ascii="Times New Roman" w:hAnsi="Times New Roman" w:cs="Times New Roman"/>
          <w:sz w:val="24"/>
        </w:rPr>
        <w:t>2023)</w:t>
      </w:r>
      <w:r>
        <w:rPr>
          <w:rFonts w:ascii="Times New Roman" w:hAnsi="Times New Roman" w:cs="Times New Roman"/>
          <w:sz w:val="24"/>
          <w:szCs w:val="24"/>
        </w:rPr>
        <w:fldChar w:fldCharType="end"/>
      </w:r>
      <w:r>
        <w:rPr>
          <w:rFonts w:ascii="Times New Roman" w:hAnsi="Times New Roman" w:cs="Times New Roman"/>
          <w:sz w:val="24"/>
          <w:szCs w:val="24"/>
        </w:rPr>
        <w:t>.</w:t>
      </w:r>
    </w:p>
    <w:p w14:paraId="1F38BF95" w14:textId="25E34CE4" w:rsidR="009A3622" w:rsidRDefault="009A3622" w:rsidP="009A36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 que motiva esta investigación es explicar el proceso de actualización de una normativa general y obsoleta que se mantuvo vigente por más de 35 años, como un intento de la Contraloría de controlar la ineficiencia y la corrupción en el país. </w:t>
      </w:r>
    </w:p>
    <w:p w14:paraId="561F60E2" w14:textId="77777777" w:rsidR="00861901" w:rsidRDefault="00861901" w:rsidP="003C7D86">
      <w:pPr>
        <w:spacing w:line="360" w:lineRule="auto"/>
        <w:jc w:val="both"/>
        <w:rPr>
          <w:rFonts w:ascii="Times New Roman" w:hAnsi="Times New Roman" w:cs="Times New Roman"/>
          <w:b/>
          <w:bCs/>
          <w:u w:val="single"/>
          <w:lang w:val="es-419"/>
        </w:rPr>
      </w:pPr>
    </w:p>
    <w:p w14:paraId="55BB68DB" w14:textId="77777777" w:rsidR="00861901" w:rsidRDefault="00861901" w:rsidP="003C7D86">
      <w:pPr>
        <w:spacing w:line="360" w:lineRule="auto"/>
        <w:jc w:val="both"/>
        <w:rPr>
          <w:rFonts w:ascii="Times New Roman" w:hAnsi="Times New Roman" w:cs="Times New Roman"/>
          <w:b/>
          <w:bCs/>
          <w:u w:val="single"/>
          <w:lang w:val="es-419"/>
        </w:rPr>
      </w:pPr>
    </w:p>
    <w:p w14:paraId="07944FA0" w14:textId="77777777" w:rsidR="00861901" w:rsidRDefault="00861901" w:rsidP="003C7D86">
      <w:pPr>
        <w:spacing w:line="360" w:lineRule="auto"/>
        <w:jc w:val="both"/>
        <w:rPr>
          <w:rFonts w:ascii="Times New Roman" w:hAnsi="Times New Roman" w:cs="Times New Roman"/>
          <w:b/>
          <w:bCs/>
          <w:u w:val="single"/>
          <w:lang w:val="es-419"/>
        </w:rPr>
      </w:pPr>
    </w:p>
    <w:p w14:paraId="4B9F08FB" w14:textId="77777777" w:rsidR="00861901" w:rsidRDefault="00861901" w:rsidP="003C7D86">
      <w:pPr>
        <w:spacing w:line="360" w:lineRule="auto"/>
        <w:jc w:val="both"/>
        <w:rPr>
          <w:rFonts w:ascii="Times New Roman" w:hAnsi="Times New Roman" w:cs="Times New Roman"/>
          <w:b/>
          <w:bCs/>
          <w:u w:val="single"/>
          <w:lang w:val="es-419"/>
        </w:rPr>
      </w:pPr>
    </w:p>
    <w:p w14:paraId="39904956" w14:textId="77777777" w:rsidR="00861901" w:rsidRDefault="00861901" w:rsidP="003C7D86">
      <w:pPr>
        <w:spacing w:line="360" w:lineRule="auto"/>
        <w:jc w:val="both"/>
        <w:rPr>
          <w:rFonts w:ascii="Times New Roman" w:hAnsi="Times New Roman" w:cs="Times New Roman"/>
          <w:b/>
          <w:bCs/>
          <w:u w:val="single"/>
          <w:lang w:val="es-419"/>
        </w:rPr>
      </w:pPr>
    </w:p>
    <w:p w14:paraId="41FCE37F" w14:textId="2F2856A2" w:rsidR="009A3622" w:rsidRDefault="009A3622" w:rsidP="003C7D86">
      <w:pPr>
        <w:spacing w:line="360" w:lineRule="auto"/>
        <w:jc w:val="both"/>
        <w:rPr>
          <w:rFonts w:ascii="Times New Roman" w:hAnsi="Times New Roman" w:cs="Times New Roman"/>
          <w:b/>
          <w:bCs/>
          <w:u w:val="single"/>
          <w:lang w:val="es-419"/>
        </w:rPr>
      </w:pPr>
      <w:r w:rsidRPr="009A3622">
        <w:rPr>
          <w:rFonts w:ascii="Times New Roman" w:hAnsi="Times New Roman" w:cs="Times New Roman"/>
          <w:b/>
          <w:bCs/>
          <w:u w:val="single"/>
          <w:lang w:val="es-419"/>
        </w:rPr>
        <w:lastRenderedPageBreak/>
        <w:t xml:space="preserve">Revisión de literatura </w:t>
      </w:r>
    </w:p>
    <w:p w14:paraId="2485D092" w14:textId="4806E25D" w:rsidR="00447503" w:rsidRDefault="0080734D" w:rsidP="00861901">
      <w:pPr>
        <w:spacing w:line="360" w:lineRule="auto"/>
        <w:jc w:val="both"/>
        <w:rPr>
          <w:rFonts w:ascii="Times New Roman" w:hAnsi="Times New Roman" w:cs="Times New Roman"/>
          <w:lang w:val="es-419"/>
        </w:rPr>
      </w:pPr>
      <w:r>
        <w:rPr>
          <w:rFonts w:ascii="Times New Roman" w:hAnsi="Times New Roman" w:cs="Times New Roman"/>
          <w:lang w:val="es-419"/>
        </w:rPr>
        <w:t xml:space="preserve">Múltiples investigaciones que explican la </w:t>
      </w:r>
      <w:r w:rsidR="0083420D">
        <w:rPr>
          <w:rFonts w:ascii="Times New Roman" w:hAnsi="Times New Roman" w:cs="Times New Roman"/>
          <w:lang w:val="es-419"/>
        </w:rPr>
        <w:t xml:space="preserve">formulación </w:t>
      </w:r>
      <w:r>
        <w:rPr>
          <w:rFonts w:ascii="Times New Roman" w:hAnsi="Times New Roman" w:cs="Times New Roman"/>
          <w:lang w:val="es-419"/>
        </w:rPr>
        <w:t xml:space="preserve">de medidas anticorrupción brindan una explicación institucional en donde se combina la agencia de ciertos actores relevantes y el contexto coyuntural/histórico. En el caso mexicano, </w:t>
      </w:r>
      <w:r w:rsidR="00861901" w:rsidRPr="00861901">
        <w:rPr>
          <w:rFonts w:ascii="Times New Roman" w:hAnsi="Times New Roman" w:cs="Times New Roman"/>
          <w:lang w:val="es-419"/>
        </w:rPr>
        <w:t>Monsivais-Carrillo</w:t>
      </w:r>
      <w:r w:rsidR="00861901">
        <w:rPr>
          <w:rFonts w:ascii="Times New Roman" w:hAnsi="Times New Roman" w:cs="Times New Roman"/>
          <w:lang w:val="es-419"/>
        </w:rPr>
        <w:t xml:space="preserve"> (</w:t>
      </w:r>
      <w:r w:rsidR="00861901" w:rsidRPr="00861901">
        <w:rPr>
          <w:rFonts w:ascii="Times New Roman" w:hAnsi="Times New Roman" w:cs="Times New Roman"/>
          <w:lang w:val="es-419"/>
        </w:rPr>
        <w:t>2019)</w:t>
      </w:r>
      <w:r w:rsidR="00861901">
        <w:rPr>
          <w:rFonts w:ascii="Times New Roman" w:hAnsi="Times New Roman" w:cs="Times New Roman"/>
          <w:lang w:val="es-419"/>
        </w:rPr>
        <w:t xml:space="preserve"> </w:t>
      </w:r>
      <w:r>
        <w:rPr>
          <w:rFonts w:ascii="Times New Roman" w:hAnsi="Times New Roman" w:cs="Times New Roman"/>
          <w:lang w:val="es-419"/>
        </w:rPr>
        <w:t xml:space="preserve">arguye que la implementación del Sistema Nacional Anticorrupción fue producto de un proceso legislativo que tuvo la intervención de una red densa de expertos y organizaciones especializadas en temas de lucha contra la corrupción, que se vio favorecida por una coyuntura de escándalos de corrupción y homicidios por parte del gobierno de turno. Esto hizo que la iniciativa del gobierno fuera reemplazada por un sistema más ambicioso. No obstante, señala que </w:t>
      </w:r>
      <w:r w:rsidR="00861901">
        <w:rPr>
          <w:rFonts w:ascii="Times New Roman" w:hAnsi="Times New Roman" w:cs="Times New Roman"/>
          <w:lang w:val="es-419"/>
        </w:rPr>
        <w:t xml:space="preserve">para que la implementación del sistema se afirme y se retroalimente se requiere de una red de soporte constante. En aras de profundizar el rol del contexto en los resultados de los esfuerzos anticorrupción, </w:t>
      </w:r>
      <w:r w:rsidR="00861901">
        <w:rPr>
          <w:rFonts w:ascii="Times New Roman" w:hAnsi="Times New Roman" w:cs="Times New Roman"/>
          <w:lang w:val="es-419"/>
        </w:rPr>
        <w:fldChar w:fldCharType="begin"/>
      </w:r>
      <w:r w:rsidR="00861901">
        <w:rPr>
          <w:rFonts w:ascii="Times New Roman" w:hAnsi="Times New Roman" w:cs="Times New Roman"/>
          <w:lang w:val="es-419"/>
        </w:rPr>
        <w:instrText xml:space="preserve"> ADDIN ZOTERO_ITEM CSL_CITATION {"citationID":"tk8Ompzv","properties":{"formattedCitation":"(Castro &amp; Ansari, 2017)","plainCitation":"(Castro &amp; Ansari, 2017)","noteIndex":0},"citationItems":[{"id":204,"uris":["http://zotero.org/users/13999345/items/62YME6U4"],"itemData":{"id":204,"type":"article-journal","abstract":"While existing research has explained how actors can disrupt even deeply entrenched practices, we focus on the role of the context in fueling these efforts. To do so, we analyze one of the largest anticorruption operations ever launched in Brazil: the “Lava Jato” (Car Wash Operation) and its antecedents, the contextual enablers of change, and the institutional work of agents involved in this operation. We find that the confluence of jolts, gradual changes in the field, and the cumulating work of purposeful actors were essential for anticorruption actions to gain traction across the country and lead to a breakthrough in the fight against corruption. We develop a model to explain how actors seeking institutional change are contextually empowered, and their efforts yield breakthroughs only at particular points in time when the context is “ripe” for change. Our findings contribute both to institutional theory and the corruption literature.","container-title":"Journal of Management Inquiry","DOI":"10.1177/1056492617696887","ISSN":"1056-4926","issue":"4","language":"en","note":"publisher: SAGE Publications Inc","page":"351-365","source":"SAGE Journals","title":"Contextual “Readiness” for Institutional Work. A Study of the Fight Against Corruption in Brazil","volume":"26","author":[{"family":"Castro","given":"Armando"},{"family":"Ansari","given":"Shaz"}],"issued":{"date-parts":[["2017",10,1]]}}}],"schema":"https://github.com/citation-style-language/schema/raw/master/csl-citation.json"} </w:instrText>
      </w:r>
      <w:r w:rsidR="00861901">
        <w:rPr>
          <w:rFonts w:ascii="Times New Roman" w:hAnsi="Times New Roman" w:cs="Times New Roman"/>
          <w:lang w:val="es-419"/>
        </w:rPr>
        <w:fldChar w:fldCharType="separate"/>
      </w:r>
      <w:r w:rsidR="00861901" w:rsidRPr="00861901">
        <w:rPr>
          <w:rFonts w:ascii="Times New Roman" w:hAnsi="Times New Roman" w:cs="Times New Roman"/>
        </w:rPr>
        <w:t>Castro &amp; Ansari</w:t>
      </w:r>
      <w:r w:rsidR="00861901">
        <w:rPr>
          <w:rFonts w:ascii="Times New Roman" w:hAnsi="Times New Roman" w:cs="Times New Roman"/>
        </w:rPr>
        <w:t xml:space="preserve"> (</w:t>
      </w:r>
      <w:r w:rsidR="00861901" w:rsidRPr="00861901">
        <w:rPr>
          <w:rFonts w:ascii="Times New Roman" w:hAnsi="Times New Roman" w:cs="Times New Roman"/>
        </w:rPr>
        <w:t>2017)</w:t>
      </w:r>
      <w:r w:rsidR="00861901">
        <w:rPr>
          <w:rFonts w:ascii="Times New Roman" w:hAnsi="Times New Roman" w:cs="Times New Roman"/>
          <w:lang w:val="es-419"/>
        </w:rPr>
        <w:fldChar w:fldCharType="end"/>
      </w:r>
      <w:r w:rsidR="00861901">
        <w:rPr>
          <w:rFonts w:ascii="Times New Roman" w:hAnsi="Times New Roman" w:cs="Times New Roman"/>
          <w:lang w:val="es-419"/>
        </w:rPr>
        <w:t xml:space="preserve"> encuentran que la confluencia de cambios radicales (el caso Lava Jato, el caso </w:t>
      </w:r>
      <w:hyperlink r:id="rId5" w:tooltip="Caso mensalão" w:history="1">
        <w:r w:rsidR="00861901">
          <w:rPr>
            <w:rFonts w:ascii="Times New Roman" w:hAnsi="Times New Roman" w:cs="Times New Roman"/>
            <w:lang w:val="es-419"/>
          </w:rPr>
          <w:t>M</w:t>
        </w:r>
        <w:r w:rsidR="00861901" w:rsidRPr="00861901">
          <w:rPr>
            <w:rFonts w:ascii="Times New Roman" w:hAnsi="Times New Roman" w:cs="Times New Roman"/>
            <w:lang w:val="es-419"/>
          </w:rPr>
          <w:t>ensalão</w:t>
        </w:r>
      </w:hyperlink>
      <w:r w:rsidR="00861901">
        <w:rPr>
          <w:rFonts w:ascii="Times New Roman" w:hAnsi="Times New Roman" w:cs="Times New Roman"/>
          <w:lang w:val="es-419"/>
        </w:rPr>
        <w:t xml:space="preserve"> y las protestas del 2013), cambios graduales (mayor cobertura de casos de corrupción, fortalecimiento de las agencias anticorrupción, mayor activismo de los jueces) y el trabajo acumulado de actores clave condujeron a grandes avances en la lucha contra la corrupción en Brasil. Resaltan el rol de los cambios radicales y graduales para crear una “ventana de oportunidad” que hace que los actores anticorrupción puedan impulsar su agenda en el espacio público y político.</w:t>
      </w:r>
    </w:p>
    <w:p w14:paraId="361E845E" w14:textId="4658C858" w:rsidR="00447503" w:rsidRDefault="00861901" w:rsidP="00861901">
      <w:pPr>
        <w:spacing w:line="360" w:lineRule="auto"/>
        <w:jc w:val="both"/>
        <w:rPr>
          <w:rFonts w:ascii="Times New Roman" w:hAnsi="Times New Roman" w:cs="Times New Roman"/>
          <w:lang w:val="es-419"/>
        </w:rPr>
      </w:pPr>
      <w:r>
        <w:rPr>
          <w:rFonts w:ascii="Times New Roman" w:hAnsi="Times New Roman" w:cs="Times New Roman"/>
          <w:lang w:val="es-419"/>
        </w:rPr>
        <w:t>Contradiciendo</w:t>
      </w:r>
      <w:r w:rsidR="00447503">
        <w:rPr>
          <w:rFonts w:ascii="Times New Roman" w:hAnsi="Times New Roman" w:cs="Times New Roman"/>
          <w:lang w:val="es-419"/>
        </w:rPr>
        <w:t xml:space="preserve"> a</w:t>
      </w:r>
      <w:r>
        <w:rPr>
          <w:rFonts w:ascii="Times New Roman" w:hAnsi="Times New Roman" w:cs="Times New Roman"/>
          <w:lang w:val="es-419"/>
        </w:rPr>
        <w:t xml:space="preserve"> las teorías institucionales, </w:t>
      </w:r>
      <w:r>
        <w:rPr>
          <w:rFonts w:ascii="Times New Roman" w:hAnsi="Times New Roman" w:cs="Times New Roman"/>
          <w:lang w:val="es-419"/>
        </w:rPr>
        <w:fldChar w:fldCharType="begin"/>
      </w:r>
      <w:r>
        <w:rPr>
          <w:rFonts w:ascii="Times New Roman" w:hAnsi="Times New Roman" w:cs="Times New Roman"/>
          <w:lang w:val="es-419"/>
        </w:rPr>
        <w:instrText xml:space="preserve"> ADDIN ZOTERO_ITEM CSL_CITATION {"citationID":"8WA00MA2","properties":{"formattedCitation":"(L.Newell, 2004)","plainCitation":"(L.Newell, 2004)","noteIndex":0},"citationItems":[{"id":200,"uris":["http://zotero.org/users/13999345/items/NSIBN34A"],"itemData":{"id":200,"type":"chapter","container-title":"Threats and Phantoms of Organised Crime, Corruption and Terrorism. Critical European perspectives","ISBN":"90-5850-077-2","page":"201-227","publisher":"Wolf Legal Publishers","title":"Institutional reform and attempts to fight corruption: the Italian case","author":[{"family":"L.Newell","given":"James"}],"editor":[{"literal":"van Duyne, Petrus C"},{"family":"Klaus von Lampe","given":"Matjaž Jager"}],"issued":{"date-parts":[["2004"]]}}}],"schema":"https://github.com/citation-style-language/schema/raw/master/csl-citation.json"} </w:instrText>
      </w:r>
      <w:r>
        <w:rPr>
          <w:rFonts w:ascii="Times New Roman" w:hAnsi="Times New Roman" w:cs="Times New Roman"/>
          <w:lang w:val="es-419"/>
        </w:rPr>
        <w:fldChar w:fldCharType="separate"/>
      </w:r>
      <w:r w:rsidRPr="00861901">
        <w:rPr>
          <w:rFonts w:ascii="Times New Roman" w:hAnsi="Times New Roman" w:cs="Times New Roman"/>
        </w:rPr>
        <w:t>L.Newell</w:t>
      </w:r>
      <w:r>
        <w:rPr>
          <w:rFonts w:ascii="Times New Roman" w:hAnsi="Times New Roman" w:cs="Times New Roman"/>
        </w:rPr>
        <w:t xml:space="preserve"> (</w:t>
      </w:r>
      <w:r w:rsidRPr="00861901">
        <w:rPr>
          <w:rFonts w:ascii="Times New Roman" w:hAnsi="Times New Roman" w:cs="Times New Roman"/>
        </w:rPr>
        <w:t>2004)</w:t>
      </w:r>
      <w:r>
        <w:rPr>
          <w:rFonts w:ascii="Times New Roman" w:hAnsi="Times New Roman" w:cs="Times New Roman"/>
          <w:lang w:val="es-419"/>
        </w:rPr>
        <w:fldChar w:fldCharType="end"/>
      </w:r>
      <w:r>
        <w:rPr>
          <w:rFonts w:ascii="Times New Roman" w:hAnsi="Times New Roman" w:cs="Times New Roman"/>
          <w:lang w:val="es-419"/>
        </w:rPr>
        <w:t xml:space="preserve"> encuentra que para el caso italiano los grandes cambios macro políticos, como el paso de un sistema multipartidista a uno bipartidista</w:t>
      </w:r>
      <w:r w:rsidR="00447503">
        <w:rPr>
          <w:rFonts w:ascii="Times New Roman" w:hAnsi="Times New Roman" w:cs="Times New Roman"/>
          <w:lang w:val="es-419"/>
        </w:rPr>
        <w:t xml:space="preserve"> en 1993</w:t>
      </w:r>
      <w:r>
        <w:rPr>
          <w:rFonts w:ascii="Times New Roman" w:hAnsi="Times New Roman" w:cs="Times New Roman"/>
          <w:lang w:val="es-419"/>
        </w:rPr>
        <w:t xml:space="preserve">, </w:t>
      </w:r>
      <w:r w:rsidR="00447503">
        <w:rPr>
          <w:rFonts w:ascii="Times New Roman" w:hAnsi="Times New Roman" w:cs="Times New Roman"/>
          <w:lang w:val="es-419"/>
        </w:rPr>
        <w:t xml:space="preserve">no generaron resultados significativos en la lucha anticorrupción. Esto se debe a que los partidos – tanto de gobierno como de oposición- percibían que el beneficio neto (en cuanto a recaudación de votos electorales) de impulsar estas medidas era negativo o marginalmente positivo. Por un lado, los italianos en esa época tenían una baja tendencia a cambiar de voto entre ambos partidos, por lo que optar o no por estas medidas no iba a generar grandes cambios para ningún bando. Por otro lado, aun si los italianos fueran capaces de cambiar su voto, su impacto en el gobierno en materia anticorrupción era nula ya que este tenía la capacidad de manipular la opinión pública a fin de no responder a la presión social. Por último, para las elecciones del 2001, para un gran porcentaje de la población la corrupción o la lucha contra la corrupción no parecía un tema importante. Esto es probablemente explicado por el poco nivel de confianza que tenían en las instituciones del estado, lo cual pudo hacer que los escándalos de corrupción no los sorprendieran demasiado. </w:t>
      </w:r>
    </w:p>
    <w:p w14:paraId="1DF03FB5" w14:textId="77777777" w:rsidR="00765D72" w:rsidRDefault="00447503" w:rsidP="003C7D86">
      <w:pPr>
        <w:spacing w:line="360" w:lineRule="auto"/>
        <w:jc w:val="both"/>
        <w:rPr>
          <w:rFonts w:ascii="Times New Roman" w:hAnsi="Times New Roman" w:cs="Times New Roman"/>
          <w:lang w:val="es-419"/>
        </w:rPr>
      </w:pPr>
      <w:r>
        <w:rPr>
          <w:rFonts w:ascii="Times New Roman" w:hAnsi="Times New Roman" w:cs="Times New Roman"/>
          <w:lang w:val="es-419"/>
        </w:rPr>
        <w:t xml:space="preserve">Otras investigaciones evalúan el grado de efectividad de las medidas anticorrupción. Por un lado, </w:t>
      </w:r>
      <w:r>
        <w:rPr>
          <w:rFonts w:ascii="Times New Roman" w:hAnsi="Times New Roman" w:cs="Times New Roman"/>
          <w:lang w:val="es-419"/>
        </w:rPr>
        <w:fldChar w:fldCharType="begin"/>
      </w:r>
      <w:r>
        <w:rPr>
          <w:rFonts w:ascii="Times New Roman" w:hAnsi="Times New Roman" w:cs="Times New Roman"/>
          <w:lang w:val="es-419"/>
        </w:rPr>
        <w:instrText xml:space="preserve"> ADDIN ZOTERO_ITEM CSL_CITATION {"citationID":"GldQcLSS","properties":{"formattedCitation":"(Khan et\\uc0\\u160{}al., 2016)","plainCitation":"(Khan et al., 2016)","noteIndex":0},"citationItems":[{"id":201,"uris":["http://zotero.org/users/13999345/items/649PM2FU"],"itemData":{"id":201,"type":"article-journal","container-title":"Anti-Corruption Evidence","language":"en","license":"cc_by_nc_nd_4","note":"publisher-place: London\npublisher: SOAS","page":"2-28","title":"Anti-Corruption in Adverse Contexts: A Strategic Approach","title-short":"Anti-Corruption in Adverse Contexts","author":[{"family":"Khan","given":"Mushtaq"},{"family":"Andreoni","given":"Antonio"},{"family":"Roy","given":"Pallavi"}],"issued":{"date-parts":[["2016",9,13]]}}}],"schema":"https://github.com/citation-style-language/schema/raw/master/csl-citation.json"} </w:instrText>
      </w:r>
      <w:r>
        <w:rPr>
          <w:rFonts w:ascii="Times New Roman" w:hAnsi="Times New Roman" w:cs="Times New Roman"/>
          <w:lang w:val="es-419"/>
        </w:rPr>
        <w:fldChar w:fldCharType="separate"/>
      </w:r>
      <w:r w:rsidRPr="00447503">
        <w:rPr>
          <w:rFonts w:ascii="Times New Roman" w:hAnsi="Times New Roman" w:cs="Times New Roman"/>
          <w:kern w:val="0"/>
        </w:rPr>
        <w:t>Khan et al.</w:t>
      </w:r>
      <w:r>
        <w:rPr>
          <w:rFonts w:ascii="Times New Roman" w:hAnsi="Times New Roman" w:cs="Times New Roman"/>
          <w:kern w:val="0"/>
        </w:rPr>
        <w:t xml:space="preserve"> (</w:t>
      </w:r>
      <w:r w:rsidRPr="00447503">
        <w:rPr>
          <w:rFonts w:ascii="Times New Roman" w:hAnsi="Times New Roman" w:cs="Times New Roman"/>
          <w:kern w:val="0"/>
        </w:rPr>
        <w:t>2016)</w:t>
      </w:r>
      <w:r>
        <w:rPr>
          <w:rFonts w:ascii="Times New Roman" w:hAnsi="Times New Roman" w:cs="Times New Roman"/>
          <w:lang w:val="es-419"/>
        </w:rPr>
        <w:fldChar w:fldCharType="end"/>
      </w:r>
      <w:r>
        <w:rPr>
          <w:rFonts w:ascii="Times New Roman" w:hAnsi="Times New Roman" w:cs="Times New Roman"/>
          <w:lang w:val="es-419"/>
        </w:rPr>
        <w:t xml:space="preserve"> encuentra que un gran problema de las medidas anticorrupción convencionales es que se enfocan principalmente en fortalecer el cumplimiento de la ley para elevar los costos de </w:t>
      </w:r>
      <w:r>
        <w:rPr>
          <w:rFonts w:ascii="Times New Roman" w:hAnsi="Times New Roman" w:cs="Times New Roman"/>
          <w:lang w:val="es-419"/>
        </w:rPr>
        <w:lastRenderedPageBreak/>
        <w:t>cometer un acto corrupto, reestructurando así los incentivos de los agentes. Para que estas medidas sean efectivas se debe cumplir un supuesto fundamental: las organizaciones poderosas deben considerar deseables estas medidas para apoyar su implementación y cumplimiento. No obstante, en sociedades donde las organizaciones e individuos pueden crecer política y económicamente al margen de la ley, el cumplimiento generalizado de la ley no se vuelve una medida merecedora de apoy</w:t>
      </w:r>
      <w:r w:rsidR="003D746A">
        <w:rPr>
          <w:rFonts w:ascii="Times New Roman" w:hAnsi="Times New Roman" w:cs="Times New Roman"/>
          <w:lang w:val="es-419"/>
        </w:rPr>
        <w:t>o</w:t>
      </w:r>
      <w:r>
        <w:rPr>
          <w:rFonts w:ascii="Times New Roman" w:hAnsi="Times New Roman" w:cs="Times New Roman"/>
          <w:lang w:val="es-419"/>
        </w:rPr>
        <w:t>, por lo que estas medidas tienden a fracasar. Por ende, propone que en sociedades en donde la violación de las reglas es sistemática, la mejor estrategia anticorrupción debe ser aquella que se enfoca en resolver un problema de corrupción en un área en específico, cuya efectividad tiene un alto impacto en el desarrollo y cuya viabilidad dependa del apoyo de una organización poderosa que busca implementarla a su propio beneficio</w:t>
      </w:r>
      <w:r w:rsidR="003D746A">
        <w:rPr>
          <w:rFonts w:ascii="Times New Roman" w:hAnsi="Times New Roman" w:cs="Times New Roman"/>
          <w:lang w:val="es-419"/>
        </w:rPr>
        <w:t xml:space="preserve">. Aun en países con instituciones débiles, se requiere del respaldo de actores poderosos en el proceso de reforma institucional para que estas tengan viabilidad (Levitsky &amp; Murillo, 2012). </w:t>
      </w:r>
    </w:p>
    <w:p w14:paraId="56904593" w14:textId="7F265CC3" w:rsidR="00A35D1D" w:rsidRDefault="003D746A" w:rsidP="003C7D86">
      <w:pPr>
        <w:spacing w:line="360" w:lineRule="auto"/>
        <w:jc w:val="both"/>
        <w:rPr>
          <w:rFonts w:ascii="Times New Roman" w:hAnsi="Times New Roman" w:cs="Times New Roman"/>
          <w:lang w:val="es-419"/>
        </w:rPr>
      </w:pPr>
      <w:r>
        <w:rPr>
          <w:rFonts w:ascii="Times New Roman" w:hAnsi="Times New Roman" w:cs="Times New Roman"/>
          <w:lang w:val="es-419"/>
        </w:rPr>
        <w:t xml:space="preserve">Por otro lado, </w:t>
      </w:r>
      <w:r>
        <w:rPr>
          <w:rFonts w:ascii="Times New Roman" w:hAnsi="Times New Roman" w:cs="Times New Roman"/>
          <w:lang w:val="es-419"/>
        </w:rPr>
        <w:fldChar w:fldCharType="begin"/>
      </w:r>
      <w:r>
        <w:rPr>
          <w:rFonts w:ascii="Times New Roman" w:hAnsi="Times New Roman" w:cs="Times New Roman"/>
          <w:lang w:val="es-419"/>
        </w:rPr>
        <w:instrText xml:space="preserve"> ADDIN ZOTERO_ITEM CSL_CITATION {"citationID":"NvzTMVZh","properties":{"formattedCitation":"(Gong &amp; Tu, 2022)","plainCitation":"(Gong &amp; Tu, 2022)","noteIndex":0},"citationItems":[{"id":206,"uris":["http://zotero.org/users/13999345/items/RQGRFXZ2"],"itemData":{"id":206,"type":"article-journal","abstract":"This article provides an overview of the decades-long fight against corruption in China, focusing on its trajectory, dynamics, and impact. Corruption has long been a threat to China’s social stability, its economic development, and even the legitimacy of the regime. Equally notable are the numerous efforts made by successive generations of the Chinese leadership to control and prevent corruption. While goals may have remained the same across different periods, anti-corruption strategies and methods have changed considerably, moving from sporadic campaigns to more institutionalized methods and from power-driven rectification to rule-based integrity management. The current anticorruption drive, launched after Xi Jinping took power at the 18th National Party Congress in 2012, not only has demonstrated novel features, suggesting a multi-pronged approach, but also is unprecedented in its breadth, depth, and severity. What are the dynamics of China’s fight against corruption? Has the increasingly intense crackdown been able to contain corruption? How can we understand the impact and effectiveness of anti-corruption enforcement in China? The six articles, including this one, in this special issue provide answers to these questions.","container-title":"China Review","ISSN":"1680-2012","issue":"2","note":"publisher: The Chinese University of Hong Kong Press","page":"1-19","source":"JSTOR","title":"Fighting Corruption in China: Trajectory, Dynamics, and Impact","title-short":"Fighting Corruption in China","volume":"22","author":[{"family":"Gong","given":"Ting"},{"family":"Tu","given":"Wenyan"}],"issued":{"date-parts":[["2022"]]}}}],"schema":"https://github.com/citation-style-language/schema/raw/master/csl-citation.json"} </w:instrText>
      </w:r>
      <w:r>
        <w:rPr>
          <w:rFonts w:ascii="Times New Roman" w:hAnsi="Times New Roman" w:cs="Times New Roman"/>
          <w:lang w:val="es-419"/>
        </w:rPr>
        <w:fldChar w:fldCharType="separate"/>
      </w:r>
      <w:r w:rsidRPr="003D746A">
        <w:rPr>
          <w:rFonts w:ascii="Times New Roman" w:hAnsi="Times New Roman" w:cs="Times New Roman"/>
        </w:rPr>
        <w:t>Gong &amp; Tu</w:t>
      </w:r>
      <w:r>
        <w:rPr>
          <w:rFonts w:ascii="Times New Roman" w:hAnsi="Times New Roman" w:cs="Times New Roman"/>
        </w:rPr>
        <w:t xml:space="preserve"> (</w:t>
      </w:r>
      <w:r w:rsidRPr="003D746A">
        <w:rPr>
          <w:rFonts w:ascii="Times New Roman" w:hAnsi="Times New Roman" w:cs="Times New Roman"/>
        </w:rPr>
        <w:t>2022)</w:t>
      </w:r>
      <w:r>
        <w:rPr>
          <w:rFonts w:ascii="Times New Roman" w:hAnsi="Times New Roman" w:cs="Times New Roman"/>
          <w:lang w:val="es-419"/>
        </w:rPr>
        <w:fldChar w:fldCharType="end"/>
      </w:r>
      <w:r>
        <w:rPr>
          <w:rFonts w:ascii="Times New Roman" w:hAnsi="Times New Roman" w:cs="Times New Roman"/>
          <w:lang w:val="es-419"/>
        </w:rPr>
        <w:t xml:space="preserve"> </w:t>
      </w:r>
      <w:r w:rsidR="00A35D1D">
        <w:rPr>
          <w:rFonts w:ascii="Times New Roman" w:hAnsi="Times New Roman" w:cs="Times New Roman"/>
          <w:lang w:val="es-419"/>
        </w:rPr>
        <w:t>, a través de un análisis histórico de las medidas anticorrupción implementadas por el gobierno chino , encuentran que el tránsito de un modelo más esporádico y discrecional a uno más universal, institucionalizado y centralizado, si bien puede hacer que más funcionarios públicos sean identificados y sancionados por corrupción, no necesariamente genera un cambio de comportamiento en los funcionarios de la administración pública</w:t>
      </w:r>
      <w:r w:rsidR="00765D72">
        <w:rPr>
          <w:rFonts w:ascii="Times New Roman" w:hAnsi="Times New Roman" w:cs="Times New Roman"/>
          <w:lang w:val="es-419"/>
        </w:rPr>
        <w:t xml:space="preserve">, ya que estos pueden percibir que están siendo obligados a comportarse de determinada manera, antes que instruidos a cambiar sus valoraciones morales con respecto a la corrupción, por lo que la corrupción más que disminuir puede ocultarse aún más lejos de los ojos del estado. Asimismo, apoyándose en una investigación de tipo cuantitativa, encuentran que una mayor implementación de medidas anticorrupción puede hacer que en el corto plazo las personas perciban que existe mayor corrupción. No obstante, utilizando el caso de Hong Kong, muestran que en el largo plazo estas acciones pueden generar que la corrupción disminuya y que las personas tengan una mejor percepción del gobierno, creándose así un círculo virtuoso que devenga en buena gobernanza, fortalecimiento de la legitimidad política y el desarrollo una sociedad de confianza. </w:t>
      </w:r>
    </w:p>
    <w:p w14:paraId="50E380CA" w14:textId="77777777" w:rsidR="00765D72" w:rsidRDefault="00765D72" w:rsidP="0037040F">
      <w:pPr>
        <w:pStyle w:val="Bibliografa"/>
        <w:jc w:val="both"/>
        <w:rPr>
          <w:rFonts w:ascii="Times New Roman" w:hAnsi="Times New Roman" w:cs="Times New Roman"/>
          <w:b/>
          <w:bCs/>
          <w:sz w:val="24"/>
          <w:szCs w:val="24"/>
          <w:u w:val="single"/>
        </w:rPr>
      </w:pPr>
    </w:p>
    <w:p w14:paraId="5A5649E9" w14:textId="77777777" w:rsidR="00765D72" w:rsidRDefault="00765D72" w:rsidP="0037040F">
      <w:pPr>
        <w:pStyle w:val="Bibliografa"/>
        <w:jc w:val="both"/>
        <w:rPr>
          <w:rFonts w:ascii="Times New Roman" w:hAnsi="Times New Roman" w:cs="Times New Roman"/>
          <w:b/>
          <w:bCs/>
          <w:sz w:val="24"/>
          <w:szCs w:val="24"/>
          <w:u w:val="single"/>
        </w:rPr>
      </w:pPr>
    </w:p>
    <w:p w14:paraId="2C1BE160" w14:textId="77777777" w:rsidR="00765D72" w:rsidRDefault="00765D72" w:rsidP="0037040F">
      <w:pPr>
        <w:pStyle w:val="Bibliografa"/>
        <w:jc w:val="both"/>
        <w:rPr>
          <w:rFonts w:ascii="Times New Roman" w:hAnsi="Times New Roman" w:cs="Times New Roman"/>
          <w:b/>
          <w:bCs/>
          <w:sz w:val="24"/>
          <w:szCs w:val="24"/>
          <w:u w:val="single"/>
        </w:rPr>
      </w:pPr>
    </w:p>
    <w:p w14:paraId="117A9B3F" w14:textId="77777777" w:rsidR="00765D72" w:rsidRDefault="00765D72" w:rsidP="0037040F">
      <w:pPr>
        <w:pStyle w:val="Bibliografa"/>
        <w:jc w:val="both"/>
        <w:rPr>
          <w:rFonts w:ascii="Times New Roman" w:hAnsi="Times New Roman" w:cs="Times New Roman"/>
          <w:b/>
          <w:bCs/>
          <w:sz w:val="24"/>
          <w:szCs w:val="24"/>
          <w:u w:val="single"/>
        </w:rPr>
      </w:pPr>
    </w:p>
    <w:p w14:paraId="1FD9F552" w14:textId="77777777" w:rsidR="00765D72" w:rsidRDefault="00765D72" w:rsidP="0037040F">
      <w:pPr>
        <w:pStyle w:val="Bibliografa"/>
        <w:jc w:val="both"/>
        <w:rPr>
          <w:rFonts w:ascii="Times New Roman" w:hAnsi="Times New Roman" w:cs="Times New Roman"/>
          <w:b/>
          <w:bCs/>
          <w:sz w:val="24"/>
          <w:szCs w:val="24"/>
          <w:u w:val="single"/>
        </w:rPr>
      </w:pPr>
    </w:p>
    <w:p w14:paraId="603F826D" w14:textId="77777777" w:rsidR="00765D72" w:rsidRDefault="00765D72" w:rsidP="0037040F">
      <w:pPr>
        <w:pStyle w:val="Bibliografa"/>
        <w:jc w:val="both"/>
        <w:rPr>
          <w:rFonts w:ascii="Times New Roman" w:hAnsi="Times New Roman" w:cs="Times New Roman"/>
          <w:b/>
          <w:bCs/>
          <w:sz w:val="24"/>
          <w:szCs w:val="24"/>
          <w:u w:val="single"/>
        </w:rPr>
      </w:pPr>
    </w:p>
    <w:p w14:paraId="3CCDBC42" w14:textId="77777777" w:rsidR="00765D72" w:rsidRDefault="00765D72" w:rsidP="0037040F">
      <w:pPr>
        <w:pStyle w:val="Bibliografa"/>
        <w:jc w:val="both"/>
        <w:rPr>
          <w:rFonts w:ascii="Times New Roman" w:hAnsi="Times New Roman" w:cs="Times New Roman"/>
          <w:b/>
          <w:bCs/>
          <w:sz w:val="24"/>
          <w:szCs w:val="24"/>
          <w:u w:val="single"/>
        </w:rPr>
      </w:pPr>
    </w:p>
    <w:p w14:paraId="34730F65" w14:textId="77777777" w:rsidR="00765D72" w:rsidRDefault="00765D72" w:rsidP="0037040F">
      <w:pPr>
        <w:pStyle w:val="Bibliografa"/>
        <w:jc w:val="both"/>
        <w:rPr>
          <w:rFonts w:ascii="Times New Roman" w:hAnsi="Times New Roman" w:cs="Times New Roman"/>
          <w:b/>
          <w:bCs/>
          <w:sz w:val="24"/>
          <w:szCs w:val="24"/>
          <w:u w:val="single"/>
        </w:rPr>
      </w:pPr>
    </w:p>
    <w:p w14:paraId="6ED2D25A" w14:textId="3BBBF356" w:rsidR="0037040F" w:rsidRPr="0037040F" w:rsidRDefault="0037040F" w:rsidP="0037040F">
      <w:pPr>
        <w:pStyle w:val="Bibliografa"/>
        <w:jc w:val="both"/>
        <w:rPr>
          <w:rFonts w:ascii="Times New Roman" w:hAnsi="Times New Roman" w:cs="Times New Roman"/>
          <w:b/>
          <w:bCs/>
          <w:sz w:val="24"/>
          <w:szCs w:val="24"/>
          <w:u w:val="single"/>
        </w:rPr>
      </w:pPr>
      <w:r w:rsidRPr="0037040F">
        <w:rPr>
          <w:rFonts w:ascii="Times New Roman" w:hAnsi="Times New Roman" w:cs="Times New Roman"/>
          <w:b/>
          <w:bCs/>
          <w:sz w:val="24"/>
          <w:szCs w:val="24"/>
          <w:u w:val="single"/>
        </w:rPr>
        <w:t>Referencias bibliográficas</w:t>
      </w:r>
    </w:p>
    <w:p w14:paraId="09698CED" w14:textId="77777777" w:rsidR="003D746A" w:rsidRPr="003D746A" w:rsidRDefault="00330E5F" w:rsidP="003D746A">
      <w:pPr>
        <w:pStyle w:val="Bibliografa"/>
        <w:rPr>
          <w:rFonts w:ascii="Times New Roman" w:hAnsi="Times New Roman" w:cs="Times New Roman"/>
        </w:rPr>
      </w:pPr>
      <w:r>
        <w:fldChar w:fldCharType="begin"/>
      </w:r>
      <w:r w:rsidR="00A7638F">
        <w:instrText xml:space="preserve"> ADDIN ZOTERO_BIBL {"uncited":[],"omitted":[],"custom":[]} CSL_BIBLIOGRAPHY </w:instrText>
      </w:r>
      <w:r>
        <w:fldChar w:fldCharType="separate"/>
      </w:r>
      <w:r w:rsidR="003D746A" w:rsidRPr="003D746A">
        <w:rPr>
          <w:rFonts w:ascii="Times New Roman" w:hAnsi="Times New Roman" w:cs="Times New Roman"/>
        </w:rPr>
        <w:t xml:space="preserve">Castro, A., &amp; Ansari, S. (2017). Contextual “Readiness” for Institutional Work. A Study of the Fight Against Corruption in Brazil. </w:t>
      </w:r>
      <w:r w:rsidR="003D746A" w:rsidRPr="003D746A">
        <w:rPr>
          <w:rFonts w:ascii="Times New Roman" w:hAnsi="Times New Roman" w:cs="Times New Roman"/>
          <w:i/>
          <w:iCs/>
        </w:rPr>
        <w:t>Journal of Management Inquiry</w:t>
      </w:r>
      <w:r w:rsidR="003D746A" w:rsidRPr="003D746A">
        <w:rPr>
          <w:rFonts w:ascii="Times New Roman" w:hAnsi="Times New Roman" w:cs="Times New Roman"/>
        </w:rPr>
        <w:t xml:space="preserve">, </w:t>
      </w:r>
      <w:r w:rsidR="003D746A" w:rsidRPr="003D746A">
        <w:rPr>
          <w:rFonts w:ascii="Times New Roman" w:hAnsi="Times New Roman" w:cs="Times New Roman"/>
          <w:i/>
          <w:iCs/>
        </w:rPr>
        <w:t>26</w:t>
      </w:r>
      <w:r w:rsidR="003D746A" w:rsidRPr="003D746A">
        <w:rPr>
          <w:rFonts w:ascii="Times New Roman" w:hAnsi="Times New Roman" w:cs="Times New Roman"/>
        </w:rPr>
        <w:t>(4), 351-365. https://doi.org/10.1177/1056492617696887</w:t>
      </w:r>
    </w:p>
    <w:p w14:paraId="315027E1" w14:textId="77777777" w:rsidR="003D746A" w:rsidRPr="003D746A" w:rsidRDefault="003D746A" w:rsidP="003D746A">
      <w:pPr>
        <w:pStyle w:val="Bibliografa"/>
        <w:rPr>
          <w:rFonts w:ascii="Times New Roman" w:hAnsi="Times New Roman" w:cs="Times New Roman"/>
        </w:rPr>
      </w:pPr>
      <w:r w:rsidRPr="003D746A">
        <w:rPr>
          <w:rFonts w:ascii="Times New Roman" w:hAnsi="Times New Roman" w:cs="Times New Roman"/>
        </w:rPr>
        <w:t xml:space="preserve">ContraloriaTV (Director). (2023, octubre 4). </w:t>
      </w:r>
      <w:r w:rsidRPr="003D746A">
        <w:rPr>
          <w:rFonts w:ascii="Times New Roman" w:hAnsi="Times New Roman" w:cs="Times New Roman"/>
          <w:i/>
          <w:iCs/>
        </w:rPr>
        <w:t>Puntos de Vista | Obras por Administración Directa: Una urgente problemática por resolver</w:t>
      </w:r>
      <w:r w:rsidRPr="003D746A">
        <w:rPr>
          <w:rFonts w:ascii="Times New Roman" w:hAnsi="Times New Roman" w:cs="Times New Roman"/>
        </w:rPr>
        <w:t xml:space="preserve"> [Video recording]. https://www.youtube.com/watch?v=cIOb6-nVIjo</w:t>
      </w:r>
    </w:p>
    <w:p w14:paraId="6B16BD06" w14:textId="77777777" w:rsidR="003D746A" w:rsidRPr="003D746A" w:rsidRDefault="003D746A" w:rsidP="003D746A">
      <w:pPr>
        <w:pStyle w:val="Bibliografa"/>
        <w:rPr>
          <w:rFonts w:ascii="Times New Roman" w:hAnsi="Times New Roman" w:cs="Times New Roman"/>
        </w:rPr>
      </w:pPr>
      <w:r w:rsidRPr="003D746A">
        <w:rPr>
          <w:rFonts w:ascii="Times New Roman" w:hAnsi="Times New Roman" w:cs="Times New Roman"/>
        </w:rPr>
        <w:t xml:space="preserve">Gobierno Regional de Iquitos. (s. f.). </w:t>
      </w:r>
      <w:r w:rsidRPr="003D746A">
        <w:rPr>
          <w:rFonts w:ascii="Times New Roman" w:hAnsi="Times New Roman" w:cs="Times New Roman"/>
          <w:i/>
          <w:iCs/>
        </w:rPr>
        <w:t>Gorel Asume La Construcción Del Hospital Iquitos</w:t>
      </w:r>
      <w:r w:rsidRPr="003D746A">
        <w:rPr>
          <w:rFonts w:ascii="Times New Roman" w:hAnsi="Times New Roman" w:cs="Times New Roman"/>
        </w:rPr>
        <w:t>. Recuperado 30 de agosto de 2024, de https://www.gob.pe/institucion/regionloreto/noticias/634537-gorel-asume-la-construccion-del-hospital-iquitos</w:t>
      </w:r>
    </w:p>
    <w:p w14:paraId="625E8AA9" w14:textId="77777777" w:rsidR="003D746A" w:rsidRPr="003D746A" w:rsidRDefault="003D746A" w:rsidP="003D746A">
      <w:pPr>
        <w:pStyle w:val="Bibliografa"/>
        <w:rPr>
          <w:rFonts w:ascii="Times New Roman" w:hAnsi="Times New Roman" w:cs="Times New Roman"/>
        </w:rPr>
      </w:pPr>
      <w:r w:rsidRPr="003D746A">
        <w:rPr>
          <w:rFonts w:ascii="Times New Roman" w:hAnsi="Times New Roman" w:cs="Times New Roman"/>
        </w:rPr>
        <w:t xml:space="preserve">Gong, T., &amp; Tu, W. (2022). Fighting Corruption in China: Trajectory, Dynamics, and Impact. </w:t>
      </w:r>
      <w:r w:rsidRPr="003D746A">
        <w:rPr>
          <w:rFonts w:ascii="Times New Roman" w:hAnsi="Times New Roman" w:cs="Times New Roman"/>
          <w:i/>
          <w:iCs/>
        </w:rPr>
        <w:t>China Review</w:t>
      </w:r>
      <w:r w:rsidRPr="003D746A">
        <w:rPr>
          <w:rFonts w:ascii="Times New Roman" w:hAnsi="Times New Roman" w:cs="Times New Roman"/>
        </w:rPr>
        <w:t xml:space="preserve">, </w:t>
      </w:r>
      <w:r w:rsidRPr="003D746A">
        <w:rPr>
          <w:rFonts w:ascii="Times New Roman" w:hAnsi="Times New Roman" w:cs="Times New Roman"/>
          <w:i/>
          <w:iCs/>
        </w:rPr>
        <w:t>22</w:t>
      </w:r>
      <w:r w:rsidRPr="003D746A">
        <w:rPr>
          <w:rFonts w:ascii="Times New Roman" w:hAnsi="Times New Roman" w:cs="Times New Roman"/>
        </w:rPr>
        <w:t>(2), 1-19.</w:t>
      </w:r>
    </w:p>
    <w:p w14:paraId="5FFA5C6B" w14:textId="77777777" w:rsidR="003D746A" w:rsidRPr="003D746A" w:rsidRDefault="003D746A" w:rsidP="003D746A">
      <w:pPr>
        <w:pStyle w:val="Bibliografa"/>
        <w:rPr>
          <w:rFonts w:ascii="Times New Roman" w:hAnsi="Times New Roman" w:cs="Times New Roman"/>
        </w:rPr>
      </w:pPr>
      <w:r w:rsidRPr="003D746A">
        <w:rPr>
          <w:rFonts w:ascii="Times New Roman" w:hAnsi="Times New Roman" w:cs="Times New Roman"/>
        </w:rPr>
        <w:t xml:space="preserve">Hernández Diez, S. (2014). </w:t>
      </w:r>
      <w:r w:rsidRPr="003D746A">
        <w:rPr>
          <w:rFonts w:ascii="Times New Roman" w:hAnsi="Times New Roman" w:cs="Times New Roman"/>
          <w:i/>
          <w:iCs/>
        </w:rPr>
        <w:t>Estructura de las redes de corrupción en los procesos de selección de obras públicas en el sector Transportes y Comunicación entre los años 2005 y 2010.</w:t>
      </w:r>
      <w:r w:rsidRPr="003D746A">
        <w:rPr>
          <w:rFonts w:ascii="Times New Roman" w:hAnsi="Times New Roman" w:cs="Times New Roman"/>
        </w:rPr>
        <w:t xml:space="preserve"> [Pontificia Universidad Católica del Perú]. https://tesis.pucp.edu.pe/repositorio//handle/20.500.12404/5546</w:t>
      </w:r>
    </w:p>
    <w:p w14:paraId="22B86BB6" w14:textId="12E469D0" w:rsidR="003D746A" w:rsidRDefault="003D746A" w:rsidP="003D746A">
      <w:pPr>
        <w:pStyle w:val="Bibliografa"/>
        <w:rPr>
          <w:rFonts w:ascii="Times New Roman" w:hAnsi="Times New Roman" w:cs="Times New Roman"/>
        </w:rPr>
      </w:pPr>
      <w:r w:rsidRPr="003D746A">
        <w:rPr>
          <w:rFonts w:ascii="Times New Roman" w:hAnsi="Times New Roman" w:cs="Times New Roman"/>
        </w:rPr>
        <w:t xml:space="preserve">Khan, M., Andreoni, A., &amp; Roy, P. (2016). Anti-Corruption in Adverse Contexts: A Strategic Approach. </w:t>
      </w:r>
      <w:r w:rsidRPr="003D746A">
        <w:rPr>
          <w:rFonts w:ascii="Times New Roman" w:hAnsi="Times New Roman" w:cs="Times New Roman"/>
          <w:i/>
          <w:iCs/>
        </w:rPr>
        <w:t>Anti-Corruption Evidence</w:t>
      </w:r>
      <w:r w:rsidRPr="003D746A">
        <w:rPr>
          <w:rFonts w:ascii="Times New Roman" w:hAnsi="Times New Roman" w:cs="Times New Roman"/>
        </w:rPr>
        <w:t>, 2-28.</w:t>
      </w:r>
    </w:p>
    <w:p w14:paraId="49CE927F" w14:textId="6FD61B46" w:rsidR="0083420D" w:rsidRPr="0083420D" w:rsidRDefault="0083420D" w:rsidP="0083420D">
      <w:pPr>
        <w:spacing w:after="120" w:line="480" w:lineRule="auto"/>
        <w:jc w:val="both"/>
        <w:rPr>
          <w:rFonts w:ascii="Times New Roman" w:hAnsi="Times New Roman" w:cs="Times New Roman"/>
        </w:rPr>
      </w:pPr>
      <w:r w:rsidRPr="0083420D">
        <w:rPr>
          <w:rFonts w:ascii="Times New Roman" w:hAnsi="Times New Roman" w:cs="Times New Roman"/>
        </w:rPr>
        <w:t>Levitsky, S</w:t>
      </w:r>
      <w:r>
        <w:rPr>
          <w:rFonts w:ascii="Times New Roman" w:hAnsi="Times New Roman" w:cs="Times New Roman"/>
        </w:rPr>
        <w:t>.,</w:t>
      </w:r>
      <w:r w:rsidRPr="0083420D">
        <w:rPr>
          <w:rFonts w:ascii="Times New Roman" w:hAnsi="Times New Roman" w:cs="Times New Roman"/>
        </w:rPr>
        <w:t xml:space="preserve"> </w:t>
      </w:r>
      <w:r>
        <w:rPr>
          <w:rFonts w:ascii="Times New Roman" w:hAnsi="Times New Roman" w:cs="Times New Roman"/>
        </w:rPr>
        <w:t>&amp;</w:t>
      </w:r>
      <w:r w:rsidRPr="0083420D">
        <w:rPr>
          <w:rFonts w:ascii="Times New Roman" w:hAnsi="Times New Roman" w:cs="Times New Roman"/>
        </w:rPr>
        <w:t xml:space="preserve"> </w:t>
      </w:r>
      <w:r w:rsidRPr="0083420D">
        <w:rPr>
          <w:rFonts w:ascii="Times New Roman" w:hAnsi="Times New Roman" w:cs="Times New Roman"/>
        </w:rPr>
        <w:t>Murillo</w:t>
      </w:r>
      <w:r>
        <w:rPr>
          <w:rFonts w:ascii="Times New Roman" w:hAnsi="Times New Roman" w:cs="Times New Roman"/>
        </w:rPr>
        <w:t>, M.</w:t>
      </w:r>
      <w:r w:rsidRPr="0083420D">
        <w:rPr>
          <w:rFonts w:ascii="Times New Roman" w:hAnsi="Times New Roman" w:cs="Times New Roman"/>
        </w:rPr>
        <w:t xml:space="preserve"> </w:t>
      </w:r>
      <w:r>
        <w:rPr>
          <w:rFonts w:ascii="Times New Roman" w:hAnsi="Times New Roman" w:cs="Times New Roman"/>
        </w:rPr>
        <w:t>(</w:t>
      </w:r>
      <w:r w:rsidRPr="0083420D">
        <w:rPr>
          <w:rFonts w:ascii="Times New Roman" w:hAnsi="Times New Roman" w:cs="Times New Roman"/>
        </w:rPr>
        <w:t>2012</w:t>
      </w:r>
      <w:r>
        <w:rPr>
          <w:rFonts w:ascii="Times New Roman" w:hAnsi="Times New Roman" w:cs="Times New Roman"/>
        </w:rPr>
        <w:t>)</w:t>
      </w:r>
      <w:r w:rsidRPr="0083420D">
        <w:rPr>
          <w:rFonts w:ascii="Times New Roman" w:hAnsi="Times New Roman" w:cs="Times New Roman"/>
        </w:rPr>
        <w:t xml:space="preserve">. “Construyendo instituciones sobre cimientos débiles: lecciones desde América Latina”. </w:t>
      </w:r>
      <w:r w:rsidRPr="0083420D">
        <w:rPr>
          <w:rFonts w:ascii="Times New Roman" w:hAnsi="Times New Roman" w:cs="Times New Roman"/>
          <w:i/>
          <w:iCs/>
        </w:rPr>
        <w:t>Politai. Revista de Ciencia Política</w:t>
      </w:r>
      <w:r w:rsidRPr="0083420D">
        <w:rPr>
          <w:rFonts w:ascii="Times New Roman" w:hAnsi="Times New Roman" w:cs="Times New Roman"/>
        </w:rPr>
        <w:t xml:space="preserve"> 3 (5):17-44</w:t>
      </w:r>
    </w:p>
    <w:p w14:paraId="1808DBBE" w14:textId="77777777" w:rsidR="003D746A" w:rsidRPr="003D746A" w:rsidRDefault="003D746A" w:rsidP="003D746A">
      <w:pPr>
        <w:pStyle w:val="Bibliografa"/>
        <w:rPr>
          <w:rFonts w:ascii="Times New Roman" w:hAnsi="Times New Roman" w:cs="Times New Roman"/>
        </w:rPr>
      </w:pPr>
      <w:r w:rsidRPr="003D746A">
        <w:rPr>
          <w:rFonts w:ascii="Times New Roman" w:hAnsi="Times New Roman" w:cs="Times New Roman"/>
        </w:rPr>
        <w:t xml:space="preserve">L.Newell, J. (2004). Institutional reform and attempts to fight corruption: The Italian case. En van Duyne, Petrus C &amp; M. J. Klaus von Lampe (Eds.), </w:t>
      </w:r>
      <w:r w:rsidRPr="003D746A">
        <w:rPr>
          <w:rFonts w:ascii="Times New Roman" w:hAnsi="Times New Roman" w:cs="Times New Roman"/>
          <w:i/>
          <w:iCs/>
        </w:rPr>
        <w:t>Threats and Phantoms of Organised Crime, Corruption and Terrorism. Critical European perspectives</w:t>
      </w:r>
      <w:r w:rsidRPr="003D746A">
        <w:rPr>
          <w:rFonts w:ascii="Times New Roman" w:hAnsi="Times New Roman" w:cs="Times New Roman"/>
        </w:rPr>
        <w:t xml:space="preserve"> (pp. 201-227). Wolf Legal Publishers.</w:t>
      </w:r>
    </w:p>
    <w:p w14:paraId="2749D871" w14:textId="675D5F15" w:rsidR="00330E5F" w:rsidRDefault="00330E5F" w:rsidP="003C7D86">
      <w:pPr>
        <w:spacing w:line="360" w:lineRule="auto"/>
        <w:jc w:val="both"/>
        <w:rPr>
          <w:rFonts w:ascii="Times New Roman" w:hAnsi="Times New Roman" w:cs="Times New Roman"/>
        </w:rPr>
      </w:pPr>
      <w:r>
        <w:rPr>
          <w:rFonts w:ascii="Times New Roman" w:hAnsi="Times New Roman" w:cs="Times New Roman"/>
        </w:rPr>
        <w:fldChar w:fldCharType="end"/>
      </w:r>
    </w:p>
    <w:p w14:paraId="0DDFF9A1" w14:textId="77777777" w:rsidR="003C7D86" w:rsidRPr="003C7D86" w:rsidRDefault="003C7D86" w:rsidP="003C7D86">
      <w:pPr>
        <w:spacing w:line="360" w:lineRule="auto"/>
        <w:jc w:val="both"/>
        <w:rPr>
          <w:rFonts w:ascii="Times New Roman" w:hAnsi="Times New Roman" w:cs="Times New Roman"/>
        </w:rPr>
      </w:pPr>
    </w:p>
    <w:p w14:paraId="3D69E917" w14:textId="77777777" w:rsidR="00974B65" w:rsidRDefault="00974B65" w:rsidP="00C31A14">
      <w:pPr>
        <w:jc w:val="both"/>
        <w:rPr>
          <w:rFonts w:ascii="Times New Roman" w:hAnsi="Times New Roman" w:cs="Times New Roman"/>
        </w:rPr>
      </w:pPr>
    </w:p>
    <w:p w14:paraId="7B42059E" w14:textId="67A910DC" w:rsidR="00C31A14" w:rsidRPr="00C31A14" w:rsidRDefault="00C31A14" w:rsidP="00C31A14">
      <w:pPr>
        <w:rPr>
          <w:rFonts w:ascii="Times New Roman" w:hAnsi="Times New Roman" w:cs="Times New Roman"/>
        </w:rPr>
      </w:pPr>
      <w:r>
        <w:rPr>
          <w:rFonts w:ascii="Times New Roman" w:hAnsi="Times New Roman" w:cs="Times New Roman"/>
        </w:rPr>
        <w:t xml:space="preserve"> </w:t>
      </w:r>
    </w:p>
    <w:sectPr w:rsidR="00C31A14" w:rsidRPr="00C31A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2279D7"/>
    <w:multiLevelType w:val="hybridMultilevel"/>
    <w:tmpl w:val="30383376"/>
    <w:lvl w:ilvl="0" w:tplc="6C42904C">
      <w:start w:val="5"/>
      <w:numFmt w:val="bullet"/>
      <w:lvlText w:val="-"/>
      <w:lvlJc w:val="left"/>
      <w:pPr>
        <w:ind w:left="1065" w:hanging="360"/>
      </w:pPr>
      <w:rPr>
        <w:rFonts w:ascii="Times New Roman" w:eastAsiaTheme="minorHAnsi" w:hAnsi="Times New Roman" w:cs="Times New Roman" w:hint="default"/>
      </w:rPr>
    </w:lvl>
    <w:lvl w:ilvl="1" w:tplc="280A0003">
      <w:start w:val="1"/>
      <w:numFmt w:val="bullet"/>
      <w:lvlText w:val="o"/>
      <w:lvlJc w:val="left"/>
      <w:pPr>
        <w:ind w:left="1785" w:hanging="360"/>
      </w:pPr>
      <w:rPr>
        <w:rFonts w:ascii="Courier New" w:hAnsi="Courier New" w:cs="Courier New" w:hint="default"/>
      </w:rPr>
    </w:lvl>
    <w:lvl w:ilvl="2" w:tplc="280A0005">
      <w:start w:val="1"/>
      <w:numFmt w:val="bullet"/>
      <w:lvlText w:val=""/>
      <w:lvlJc w:val="left"/>
      <w:pPr>
        <w:ind w:left="2505" w:hanging="360"/>
      </w:pPr>
      <w:rPr>
        <w:rFonts w:ascii="Wingdings" w:hAnsi="Wingdings" w:hint="default"/>
      </w:rPr>
    </w:lvl>
    <w:lvl w:ilvl="3" w:tplc="280A0001" w:tentative="1">
      <w:start w:val="1"/>
      <w:numFmt w:val="bullet"/>
      <w:lvlText w:val=""/>
      <w:lvlJc w:val="left"/>
      <w:pPr>
        <w:ind w:left="3225" w:hanging="360"/>
      </w:pPr>
      <w:rPr>
        <w:rFonts w:ascii="Symbol" w:hAnsi="Symbol" w:hint="default"/>
      </w:rPr>
    </w:lvl>
    <w:lvl w:ilvl="4" w:tplc="280A0003" w:tentative="1">
      <w:start w:val="1"/>
      <w:numFmt w:val="bullet"/>
      <w:lvlText w:val="o"/>
      <w:lvlJc w:val="left"/>
      <w:pPr>
        <w:ind w:left="3945" w:hanging="360"/>
      </w:pPr>
      <w:rPr>
        <w:rFonts w:ascii="Courier New" w:hAnsi="Courier New" w:cs="Courier New" w:hint="default"/>
      </w:rPr>
    </w:lvl>
    <w:lvl w:ilvl="5" w:tplc="280A0005" w:tentative="1">
      <w:start w:val="1"/>
      <w:numFmt w:val="bullet"/>
      <w:lvlText w:val=""/>
      <w:lvlJc w:val="left"/>
      <w:pPr>
        <w:ind w:left="4665" w:hanging="360"/>
      </w:pPr>
      <w:rPr>
        <w:rFonts w:ascii="Wingdings" w:hAnsi="Wingdings" w:hint="default"/>
      </w:rPr>
    </w:lvl>
    <w:lvl w:ilvl="6" w:tplc="280A0001" w:tentative="1">
      <w:start w:val="1"/>
      <w:numFmt w:val="bullet"/>
      <w:lvlText w:val=""/>
      <w:lvlJc w:val="left"/>
      <w:pPr>
        <w:ind w:left="5385" w:hanging="360"/>
      </w:pPr>
      <w:rPr>
        <w:rFonts w:ascii="Symbol" w:hAnsi="Symbol" w:hint="default"/>
      </w:rPr>
    </w:lvl>
    <w:lvl w:ilvl="7" w:tplc="280A0003" w:tentative="1">
      <w:start w:val="1"/>
      <w:numFmt w:val="bullet"/>
      <w:lvlText w:val="o"/>
      <w:lvlJc w:val="left"/>
      <w:pPr>
        <w:ind w:left="6105" w:hanging="360"/>
      </w:pPr>
      <w:rPr>
        <w:rFonts w:ascii="Courier New" w:hAnsi="Courier New" w:cs="Courier New" w:hint="default"/>
      </w:rPr>
    </w:lvl>
    <w:lvl w:ilvl="8" w:tplc="280A0005" w:tentative="1">
      <w:start w:val="1"/>
      <w:numFmt w:val="bullet"/>
      <w:lvlText w:val=""/>
      <w:lvlJc w:val="left"/>
      <w:pPr>
        <w:ind w:left="6825" w:hanging="360"/>
      </w:pPr>
      <w:rPr>
        <w:rFonts w:ascii="Wingdings" w:hAnsi="Wingdings" w:hint="default"/>
      </w:rPr>
    </w:lvl>
  </w:abstractNum>
  <w:abstractNum w:abstractNumId="1" w15:restartNumberingAfterBreak="0">
    <w:nsid w:val="78EB2EF6"/>
    <w:multiLevelType w:val="hybridMultilevel"/>
    <w:tmpl w:val="B104886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543008186">
    <w:abstractNumId w:val="1"/>
  </w:num>
  <w:num w:numId="2" w16cid:durableId="994795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A14"/>
    <w:rsid w:val="000E2126"/>
    <w:rsid w:val="001636AD"/>
    <w:rsid w:val="001C2BA6"/>
    <w:rsid w:val="001F6A3D"/>
    <w:rsid w:val="00330E5F"/>
    <w:rsid w:val="0037040F"/>
    <w:rsid w:val="003C7D86"/>
    <w:rsid w:val="003D746A"/>
    <w:rsid w:val="00406442"/>
    <w:rsid w:val="00447503"/>
    <w:rsid w:val="00460D49"/>
    <w:rsid w:val="00472D87"/>
    <w:rsid w:val="00474181"/>
    <w:rsid w:val="004D39EF"/>
    <w:rsid w:val="004E06F3"/>
    <w:rsid w:val="00550A90"/>
    <w:rsid w:val="00666B5F"/>
    <w:rsid w:val="006960F0"/>
    <w:rsid w:val="006C2CB8"/>
    <w:rsid w:val="00765D72"/>
    <w:rsid w:val="0080734D"/>
    <w:rsid w:val="0081500D"/>
    <w:rsid w:val="0083420D"/>
    <w:rsid w:val="00861901"/>
    <w:rsid w:val="008A089A"/>
    <w:rsid w:val="00974B65"/>
    <w:rsid w:val="009A2650"/>
    <w:rsid w:val="009A3622"/>
    <w:rsid w:val="00A35D1D"/>
    <w:rsid w:val="00A7638F"/>
    <w:rsid w:val="00AE5668"/>
    <w:rsid w:val="00B3545D"/>
    <w:rsid w:val="00C10C1A"/>
    <w:rsid w:val="00C31A14"/>
    <w:rsid w:val="00C468CA"/>
    <w:rsid w:val="00CD18B5"/>
    <w:rsid w:val="00CD3E5D"/>
    <w:rsid w:val="00D213FC"/>
    <w:rsid w:val="00D30190"/>
    <w:rsid w:val="00DF7A8F"/>
    <w:rsid w:val="00E12D0E"/>
    <w:rsid w:val="00EC336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E78DB"/>
  <w15:chartTrackingRefBased/>
  <w15:docId w15:val="{9829DA93-1FCC-4560-9C8E-587F03BF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1A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1A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1A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1A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1A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1A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1A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1A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1A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1A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1A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1A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1A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1A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1A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1A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1A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1A14"/>
    <w:rPr>
      <w:rFonts w:eastAsiaTheme="majorEastAsia" w:cstheme="majorBidi"/>
      <w:color w:val="272727" w:themeColor="text1" w:themeTint="D8"/>
    </w:rPr>
  </w:style>
  <w:style w:type="paragraph" w:styleId="Ttulo">
    <w:name w:val="Title"/>
    <w:basedOn w:val="Normal"/>
    <w:next w:val="Normal"/>
    <w:link w:val="TtuloCar"/>
    <w:uiPriority w:val="10"/>
    <w:qFormat/>
    <w:rsid w:val="00C31A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1A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1A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1A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1A14"/>
    <w:pPr>
      <w:spacing w:before="160"/>
      <w:jc w:val="center"/>
    </w:pPr>
    <w:rPr>
      <w:i/>
      <w:iCs/>
      <w:color w:val="404040" w:themeColor="text1" w:themeTint="BF"/>
    </w:rPr>
  </w:style>
  <w:style w:type="character" w:customStyle="1" w:styleId="CitaCar">
    <w:name w:val="Cita Car"/>
    <w:basedOn w:val="Fuentedeprrafopredeter"/>
    <w:link w:val="Cita"/>
    <w:uiPriority w:val="29"/>
    <w:rsid w:val="00C31A14"/>
    <w:rPr>
      <w:i/>
      <w:iCs/>
      <w:color w:val="404040" w:themeColor="text1" w:themeTint="BF"/>
    </w:rPr>
  </w:style>
  <w:style w:type="paragraph" w:styleId="Prrafodelista">
    <w:name w:val="List Paragraph"/>
    <w:basedOn w:val="Normal"/>
    <w:uiPriority w:val="34"/>
    <w:qFormat/>
    <w:rsid w:val="00C31A14"/>
    <w:pPr>
      <w:ind w:left="720"/>
      <w:contextualSpacing/>
    </w:pPr>
  </w:style>
  <w:style w:type="character" w:styleId="nfasisintenso">
    <w:name w:val="Intense Emphasis"/>
    <w:basedOn w:val="Fuentedeprrafopredeter"/>
    <w:uiPriority w:val="21"/>
    <w:qFormat/>
    <w:rsid w:val="00C31A14"/>
    <w:rPr>
      <w:i/>
      <w:iCs/>
      <w:color w:val="0F4761" w:themeColor="accent1" w:themeShade="BF"/>
    </w:rPr>
  </w:style>
  <w:style w:type="paragraph" w:styleId="Citadestacada">
    <w:name w:val="Intense Quote"/>
    <w:basedOn w:val="Normal"/>
    <w:next w:val="Normal"/>
    <w:link w:val="CitadestacadaCar"/>
    <w:uiPriority w:val="30"/>
    <w:qFormat/>
    <w:rsid w:val="00C31A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1A14"/>
    <w:rPr>
      <w:i/>
      <w:iCs/>
      <w:color w:val="0F4761" w:themeColor="accent1" w:themeShade="BF"/>
    </w:rPr>
  </w:style>
  <w:style w:type="character" w:styleId="Referenciaintensa">
    <w:name w:val="Intense Reference"/>
    <w:basedOn w:val="Fuentedeprrafopredeter"/>
    <w:uiPriority w:val="32"/>
    <w:qFormat/>
    <w:rsid w:val="00C31A14"/>
    <w:rPr>
      <w:b/>
      <w:bCs/>
      <w:smallCaps/>
      <w:color w:val="0F4761" w:themeColor="accent1" w:themeShade="BF"/>
      <w:spacing w:val="5"/>
    </w:rPr>
  </w:style>
  <w:style w:type="paragraph" w:styleId="Bibliografa">
    <w:name w:val="Bibliography"/>
    <w:basedOn w:val="Normal"/>
    <w:next w:val="Normal"/>
    <w:uiPriority w:val="37"/>
    <w:unhideWhenUsed/>
    <w:rsid w:val="00330E5F"/>
    <w:pPr>
      <w:spacing w:after="0" w:line="480" w:lineRule="auto"/>
      <w:ind w:left="720" w:hanging="720"/>
    </w:pPr>
  </w:style>
  <w:style w:type="character" w:styleId="Hipervnculo">
    <w:name w:val="Hyperlink"/>
    <w:basedOn w:val="Fuentedeprrafopredeter"/>
    <w:uiPriority w:val="99"/>
    <w:unhideWhenUsed/>
    <w:rsid w:val="00861901"/>
    <w:rPr>
      <w:color w:val="467886" w:themeColor="hyperlink"/>
      <w:u w:val="single"/>
    </w:rPr>
  </w:style>
  <w:style w:type="character" w:styleId="Mencinsinresolver">
    <w:name w:val="Unresolved Mention"/>
    <w:basedOn w:val="Fuentedeprrafopredeter"/>
    <w:uiPriority w:val="99"/>
    <w:semiHidden/>
    <w:unhideWhenUsed/>
    <w:rsid w:val="00861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31859">
      <w:bodyDiv w:val="1"/>
      <w:marLeft w:val="0"/>
      <w:marRight w:val="0"/>
      <w:marTop w:val="0"/>
      <w:marBottom w:val="0"/>
      <w:divBdr>
        <w:top w:val="none" w:sz="0" w:space="0" w:color="auto"/>
        <w:left w:val="none" w:sz="0" w:space="0" w:color="auto"/>
        <w:bottom w:val="none" w:sz="0" w:space="0" w:color="auto"/>
        <w:right w:val="none" w:sz="0" w:space="0" w:color="auto"/>
      </w:divBdr>
    </w:div>
    <w:div w:id="32139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pais.com/noticias/caso-mensala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5</Pages>
  <Words>2503</Words>
  <Characters>13772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Gabriel Sanchez Salas</dc:creator>
  <cp:keywords/>
  <dc:description/>
  <cp:lastModifiedBy>Charles Gabriel Sánchez Salas</cp:lastModifiedBy>
  <cp:revision>5</cp:revision>
  <dcterms:created xsi:type="dcterms:W3CDTF">2024-08-31T01:25:00Z</dcterms:created>
  <dcterms:modified xsi:type="dcterms:W3CDTF">2024-09-28T08:14:00Z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id="XzPsR1mE"/&gt;&lt;style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