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PEPLAB Dihexa</w:t>
      </w:r>
    </w:p>
    <w:p>
      <w:r>
        <w:t>Website developer handoff</w:t>
      </w:r>
    </w:p>
    <w:p>
      <w:r>
        <w:t>Build this research page using the existing Retatrutide layout. This document contains SEO fields, complete page copy with clickable research references, and implementation notes. Publish only section 2 as the article.</w:t>
      </w:r>
    </w:p>
    <w:p>
      <w:pPr>
        <w:pStyle w:val="Heading2"/>
      </w:pPr>
      <w:r>
        <w:t>1 SEO settings</w:t>
      </w:r>
    </w:p>
    <w:p>
      <w:pPr>
        <w:pStyle w:val="ListBullet"/>
      </w:pPr>
      <w:r/>
      <w:r>
        <w:rPr>
          <w:b/>
        </w:rPr>
        <w:t>Title tag:</w:t>
      </w:r>
      <w:r>
        <w:t xml:space="preserve"> Dihexa Research Overview | PEPLAB</w:t>
      </w:r>
    </w:p>
    <w:p>
      <w:pPr>
        <w:pStyle w:val="ListBullet"/>
      </w:pPr>
      <w:r/>
      <w:r>
        <w:rPr>
          <w:b/>
        </w:rPr>
        <w:t>Meta description:</w:t>
      </w:r>
      <w:r>
        <w:t xml:space="preserve"> Explore Dihexa research, its angiotensin-derived identity, proposed HGF–c-Met mechanism, publication notices, evidence limitations and testing.</w:t>
      </w:r>
    </w:p>
    <w:p>
      <w:pPr>
        <w:pStyle w:val="ListBullet"/>
      </w:pPr>
      <w:r/>
      <w:r>
        <w:rPr>
          <w:b/>
        </w:rPr>
        <w:t>Suggested URL:</w:t>
      </w:r>
      <w:r>
        <w:t xml:space="preserve"> https://peplab.com.au/research/compounds/dihexa</w:t>
      </w:r>
    </w:p>
    <w:p>
      <w:pPr>
        <w:pStyle w:val="ListBullet"/>
      </w:pPr>
      <w:r/>
      <w:r>
        <w:rPr>
          <w:b/>
        </w:rPr>
        <w:t>Primary topic:</w:t>
      </w:r>
      <w:r>
        <w:t xml:space="preserve"> Dihexa research</w:t>
      </w:r>
    </w:p>
    <w:p>
      <w:r>
        <w:br w:type="page"/>
      </w:r>
    </w:p>
    <w:p>
      <w:r>
        <w:t>2 WEBSITE COPY START</w:t>
      </w:r>
    </w:p>
    <w:p>
      <w:r>
        <w:t>PEPTIDOMIMETICS / NEUROSCIENCE RESEARCH</w:t>
      </w:r>
    </w:p>
    <w:p>
      <w:pPr>
        <w:pStyle w:val="Heading1"/>
      </w:pPr>
      <w:r>
        <w:t>Dihexa Research Overview</w:t>
      </w:r>
    </w:p>
    <w:p>
      <w:pPr>
        <w:pStyle w:val="Heading2"/>
      </w:pPr>
      <w:r>
        <w:t>Angiotensin-Derived Compound and Research Integrity</w:t>
      </w:r>
    </w:p>
    <w:p>
      <w:r>
        <w:t>Dihexa is an angiotensin IV-derived peptidomimetic discussed in neuroscience research. Its evidence requires particular care: a foundational paper carries a notice of concern, and a subsequent mechanism paper was retracted. These notices materially limit how the reported findings should be interpreted.</w:t>
      </w:r>
    </w:p>
    <w:p>
      <w:r>
        <w:t xml:space="preserve">For guidance on evaluating evidence, visit PEPLAB’s </w:t>
      </w:r>
      <w:hyperlink r:id="rId9">
        <w:r>
          <w:rPr>
            <w:color w:val="146B73"/>
          </w:rPr>
          <w:t>Research Overview</w:t>
        </w:r>
      </w:hyperlink>
      <w:r>
        <w:t>.</w:t>
      </w:r>
    </w:p>
    <w:p>
      <w:pPr>
        <w:pStyle w:val="Heading2"/>
      </w:pPr>
      <w:r>
        <w:t>What Is Dihexa?</w:t>
      </w:r>
    </w:p>
    <w:p>
      <w:r>
        <w:t>Dihexa is a chemically modified compound developed from an angiotensin-related research programme. It is distinct from native angiotensin IV and from hepatocyte growth factor, or HGF. Historical reports explored learning-related behaviour and synapse-associated measurements in experimental systems.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7344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Details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Compound name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Dihexa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Compound type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Angiotensin IV-derived peptidomimetic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Historical research areas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Neuronal signalling and cognition models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Proposed pathway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HGF–c-Met signalling; evidence is contested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Evidence setting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Predominantly preclinical reports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Critical qualification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Notice of concern and retraction affect key papers</w:t>
            </w:r>
          </w:p>
        </w:tc>
      </w:tr>
    </w:tbl>
    <w:p>
      <w:pPr>
        <w:pStyle w:val="Heading2"/>
      </w:pPr>
      <w:r>
        <w:t>How Does Dihexa Work?</w:t>
      </w:r>
    </w:p>
    <w:p>
      <w:pPr>
        <w:pStyle w:val="Heading3"/>
      </w:pPr>
      <w:r>
        <w:t>Historical Mechanistic Proposal</w:t>
      </w:r>
    </w:p>
    <w:p>
      <w:r>
        <w:t>Researchers proposed that Dihexa-related effects involved the HGF–c-Met signalling system. The specific 2014 paper used to support this mechanism was later retracted, so it cannot serve as reliable confirmation.</w:t>
      </w:r>
    </w:p>
    <w:p>
      <w:pPr>
        <w:pStyle w:val="Heading3"/>
      </w:pPr>
      <w:r>
        <w:t>Laboratory Endpoints</w:t>
      </w:r>
    </w:p>
    <w:p>
      <w:r>
        <w:t>Synaptic measurements and animal task performance answer limited experimental questions. They do not establish improved human intelligence, memory or dementia outcomes.</w:t>
      </w:r>
    </w:p>
    <w:p>
      <w:pPr>
        <w:pStyle w:val="Heading3"/>
      </w:pPr>
      <w:r>
        <w:t>Independent Validation</w:t>
      </w:r>
    </w:p>
    <w:p>
      <w:r>
        <w:t>A persuasive mechanism requires reproducible experiments using clearly characterised material. Publication-integrity notices make independent confirmation particularly important.</w:t>
      </w:r>
    </w:p>
    <w:p>
      <w:pPr>
        <w:pStyle w:val="Heading2"/>
      </w:pPr>
      <w:r>
        <w:t>Dihexa Research Findings</w:t>
      </w:r>
    </w:p>
    <w:p>
      <w:pPr>
        <w:pStyle w:val="Heading3"/>
      </w:pPr>
      <w:r>
        <w:t>2013 Exploratory Report</w:t>
      </w:r>
    </w:p>
    <w:p>
      <w:r>
        <w:t xml:space="preserve">A 2013 paper reported work on stabilised angiotensin IV analogues in laboratory and animal models. A 2021 notice of concern is attached to this publication. Its reported cognitive and pharmacological findings should be treated as unresolved, rather than established product benefits. </w:t>
      </w:r>
      <w:hyperlink r:id="rId10">
        <w:r>
          <w:rPr>
            <w:color w:val="146B73"/>
          </w:rPr>
          <w:t>Read the notice of concern</w:t>
        </w:r>
      </w:hyperlink>
      <w:r>
        <w:t>.</w:t>
      </w:r>
    </w:p>
    <w:p>
      <w:r/>
      <w:hyperlink r:id="rId11">
        <w:r>
          <w:rPr>
            <w:color w:val="146B73"/>
          </w:rPr>
          <w:t>Read the original report with its publication history</w:t>
        </w:r>
      </w:hyperlink>
      <w:r>
        <w:t>.</w:t>
      </w:r>
    </w:p>
    <w:p>
      <w:pPr>
        <w:pStyle w:val="Heading3"/>
      </w:pPr>
      <w:r>
        <w:t>Retracted Mechanism Paper</w:t>
      </w:r>
    </w:p>
    <w:p>
      <w:r>
        <w:t>The 2014 paper linking procognitive and synaptogenic effects to HGF–c-Met activation was retracted in 2025. It should not be used as affirmative evidence that Dihexa reliably activates a beneficial pathway or produces a clinical effect.</w:t>
      </w:r>
    </w:p>
    <w:p>
      <w:r/>
      <w:hyperlink r:id="rId12">
        <w:r>
          <w:rPr>
            <w:color w:val="146B73"/>
          </w:rPr>
          <w:t>Read the retraction notice</w:t>
        </w:r>
      </w:hyperlink>
      <w:r>
        <w:t>.</w:t>
      </w:r>
    </w:p>
    <w:p>
      <w:pPr>
        <w:pStyle w:val="Heading3"/>
      </w:pPr>
      <w:r>
        <w:t>Clinical Evidence Distinction</w:t>
      </w:r>
    </w:p>
    <w:p>
      <w:r>
        <w:t>The cited publications do not establish human cognitive efficacy or long-term safety. A research hypothesis, a historical animal result and a validated human benefit are different levels of evidence. Readers should inspect publication notices before relying on frequently repeated online claims.</w:t>
      </w:r>
    </w:p>
    <w:p>
      <w:r/>
      <w:hyperlink r:id="rId13">
        <w:r>
          <w:rPr>
            <w:color w:val="146B73"/>
          </w:rPr>
          <w:t>Review the affected mechanism record</w:t>
        </w:r>
      </w:hyperlink>
      <w:r>
        <w:t>.</w:t>
      </w:r>
    </w:p>
    <w:p>
      <w:pPr>
        <w:pStyle w:val="Heading2"/>
      </w:pPr>
      <w:r>
        <w:t>Research Findings at a Glance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032"/>
        <w:gridCol w:w="4392"/>
      </w:tblGrid>
      <w:tr>
        <w:trPr>
          <w:cantSplit/>
          <w:tblHeader/>
        </w:trPr>
        <w:tc>
          <w:tcPr>
            <w:tcW w:type="dxa" w:w="1800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Research area</w:t>
            </w:r>
          </w:p>
        </w:tc>
        <w:tc>
          <w:tcPr>
            <w:tcW w:type="dxa" w:w="4032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What studies investigate</w:t>
            </w:r>
          </w:p>
        </w:tc>
        <w:tc>
          <w:tcPr>
            <w:tcW w:type="dxa" w:w="4392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Important distinction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Historical experiments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Cell and animal outcomes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A foundational report carries a notice of concern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Proposed mechanism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HGF–c-Met involvement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The 2014 supporting paper was retracted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Human outcomes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Memory, function and safety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Not established by the cited reports</w:t>
            </w:r>
          </w:p>
        </w:tc>
      </w:tr>
    </w:tbl>
    <w:p>
      <w:pPr>
        <w:pStyle w:val="Heading2"/>
      </w:pPr>
      <w:r>
        <w:t>Safety and Research Limitations</w:t>
      </w:r>
    </w:p>
    <w:p>
      <w:r>
        <w:t>The reviewed evidence does not establish a dependable human safety profile or effective cognitive intervention. Uncertain evidence cannot support claims that Dihexa is side-effect-free, prevents dementia or permanently improves cognition. Quantified human risks should not be invented from a proposed pathway alone.</w:t>
      </w:r>
    </w:p>
    <w:p>
      <w:r>
        <w:t>This page summarises scientific evidence and does not provide instructions for personal use.</w:t>
      </w:r>
    </w:p>
    <w:p>
      <w:pPr>
        <w:pStyle w:val="Heading2"/>
      </w:pPr>
      <w:r>
        <w:t>Understanding Dihexa Testing and COAs</w:t>
      </w:r>
    </w:p>
    <w:p>
      <w:r>
        <w:t>Analytical methods answer different questions. Review the compound name, sample or batch identifier, laboratory, testing date, methods and reported results.</w:t>
      </w:r>
    </w:p>
    <w:p>
      <w:pPr>
        <w:pStyle w:val="ListBullet"/>
      </w:pPr>
      <w:r/>
      <w:r>
        <w:rPr>
          <w:b/>
        </w:rPr>
        <w:t>Purity:</w:t>
      </w:r>
      <w:r>
        <w:t xml:space="preserve"> Chromatography measures the relative proportions of detected components under specified conditions.</w:t>
      </w:r>
    </w:p>
    <w:p>
      <w:pPr>
        <w:pStyle w:val="ListBullet"/>
      </w:pPr>
      <w:r/>
      <w:r>
        <w:rPr>
          <w:b/>
        </w:rPr>
        <w:t>Identity:</w:t>
      </w:r>
      <w:r>
        <w:t xml:space="preserve"> Mass spectrometry and complementary methods assess whether a sample is consistent with the stated molecule.</w:t>
      </w:r>
    </w:p>
    <w:p>
      <w:pPr>
        <w:pStyle w:val="ListBullet"/>
      </w:pPr>
      <w:r/>
      <w:r>
        <w:rPr>
          <w:b/>
        </w:rPr>
        <w:t>Content:</w:t>
      </w:r>
      <w:r>
        <w:t xml:space="preserve"> A validated quantitative assay measures the amount of the specified material.</w:t>
      </w:r>
    </w:p>
    <w:p>
      <w:r>
        <w:t>Confirm the complete chemical structure, stereochemistry, terminal modifications and quantitative content. Because Dihexa is a modified peptidomimetic, analytical identification should match the exact structure rather than a broad angiotensin-related label. Chemical quality does not resolve weaknesses in efficacy evidence.</w:t>
      </w:r>
    </w:p>
    <w:p>
      <w:r>
        <w:t xml:space="preserve">Purity does not establish sterility, endotoxin status or clinical effectiveness. Explore PEPLAB’s </w:t>
      </w:r>
      <w:hyperlink r:id="rId14">
        <w:r>
          <w:rPr>
            <w:color w:val="146B73"/>
          </w:rPr>
          <w:t>Quality &amp; Testing</w:t>
        </w:r>
      </w:hyperlink>
      <w:r>
        <w:t xml:space="preserve"> information and available </w:t>
      </w:r>
      <w:hyperlink r:id="rId15">
        <w:r>
          <w:rPr>
            <w:color w:val="146B73"/>
          </w:rPr>
          <w:t>COA Results</w:t>
        </w:r>
      </w:hyperlink>
      <w:r>
        <w:t>. Only treat a property as tested when the relevant measurement is reported.</w:t>
      </w:r>
    </w:p>
    <w:p>
      <w:pPr>
        <w:pStyle w:val="Heading2"/>
      </w:pPr>
      <w:r>
        <w:t>Frequently Asked Questions</w:t>
      </w:r>
    </w:p>
    <w:p>
      <w:pPr>
        <w:pStyle w:val="Heading3"/>
      </w:pPr>
      <w:r>
        <w:t>Is Dihexa the same as angiotensin IV?</w:t>
      </w:r>
    </w:p>
    <w:p>
      <w:r>
        <w:t>No. It is a chemically modified angiotensin IV-derived compound.</w:t>
      </w:r>
    </w:p>
    <w:p>
      <w:pPr>
        <w:pStyle w:val="Heading3"/>
      </w:pPr>
      <w:r>
        <w:t>Is the HGF–c-Met mechanism established by the 2014 paper?</w:t>
      </w:r>
    </w:p>
    <w:p>
      <w:r>
        <w:t>No. That paper was retracted in 2025.</w:t>
      </w:r>
    </w:p>
    <w:p>
      <w:pPr>
        <w:pStyle w:val="Heading3"/>
      </w:pPr>
      <w:r>
        <w:t>Was the 2013 paper also retracted?</w:t>
      </w:r>
    </w:p>
    <w:p>
      <w:r>
        <w:t>The record cited here carries a 2021 notice of concern. That is a different publication notice from a retraction.</w:t>
      </w:r>
    </w:p>
    <w:p>
      <w:pPr>
        <w:pStyle w:val="Heading3"/>
      </w:pPr>
      <w:r>
        <w:t>Does this evidence prove better memory in people?</w:t>
      </w:r>
    </w:p>
    <w:p>
      <w:r>
        <w:t>No. The cited research does not establish a human cognitive benefit.</w:t>
      </w:r>
    </w:p>
    <w:p>
      <w:pPr>
        <w:pStyle w:val="Heading3"/>
      </w:pPr>
      <w:r>
        <w:t>Can a COA validate a clinical claim?</w:t>
      </w:r>
    </w:p>
    <w:p>
      <w:r>
        <w:t>No. A COA describes tested sample properties, not clinical efficacy.</w:t>
      </w:r>
    </w:p>
    <w:p>
      <w:pPr>
        <w:pStyle w:val="Heading3"/>
      </w:pPr>
      <w:r>
        <w:t>Why are publication notices included?</w:t>
      </w:r>
    </w:p>
    <w:p>
      <w:r>
        <w:t>They change how much confidence readers can place in the underlying findings.</w:t>
      </w:r>
    </w:p>
    <w:p>
      <w:pPr>
        <w:pStyle w:val="Heading3"/>
      </w:pPr>
      <w:r>
        <w:t>Where can I find Dihexa research papers?</w:t>
      </w:r>
    </w:p>
    <w:p>
      <w:r>
        <w:t xml:space="preserve">Follow the original-source links above and search the compound name on </w:t>
      </w:r>
      <w:hyperlink r:id="rId16">
        <w:r>
          <w:rPr>
            <w:color w:val="146B73"/>
          </w:rPr>
          <w:t>PubMed</w:t>
        </w:r>
      </w:hyperlink>
      <w:r>
        <w:t>. Check the exact molecule, population and outcome in each publication.</w:t>
      </w:r>
    </w:p>
    <w:p>
      <w:pPr>
        <w:pStyle w:val="Heading2"/>
      </w:pPr>
      <w:r>
        <w:t>Explore PEPLAB Research</w:t>
      </w:r>
    </w:p>
    <w:p>
      <w:r>
        <w:t xml:space="preserve">Visit our </w:t>
      </w:r>
      <w:hyperlink r:id="rId9">
        <w:r>
          <w:rPr>
            <w:color w:val="146B73"/>
          </w:rPr>
          <w:t>Research Overview</w:t>
        </w:r>
      </w:hyperlink>
      <w:r>
        <w:t xml:space="preserve"> for guidance on scientific evidence and laboratory testing. Select Find Your Compound to explore other compound-specific research pages.</w:t>
      </w:r>
    </w:p>
    <w:p>
      <w:r/>
      <w:r>
        <w:rPr>
          <w:b/>
        </w:rPr>
        <w:t>Buttons:</w:t>
      </w:r>
      <w:r>
        <w:t xml:space="preserve"> Research Overview | Find Your Compound</w:t>
      </w:r>
    </w:p>
    <w:p>
      <w:r>
        <w:t>WEBSITE COPY END</w:t>
      </w:r>
    </w:p>
    <w:p>
      <w:r>
        <w:br w:type="page"/>
      </w:r>
    </w:p>
    <w:p>
      <w:pPr>
        <w:pStyle w:val="Heading2"/>
      </w:pPr>
      <w:r>
        <w:t>3 Developer and editorial notes</w:t>
      </w:r>
    </w:p>
    <w:p>
      <w:pPr>
        <w:pStyle w:val="Heading2"/>
      </w:pPr>
      <w:r>
        <w:t>SEO and AI search implementation</w:t>
      </w:r>
    </w:p>
    <w:p>
      <w:pPr>
        <w:pStyle w:val="ListBullet"/>
      </w:pPr>
      <w:r>
        <w:t>Match the Retatrutide research page layout and use one H1. Preserve H2 sections, H3 subsections, tables and visible FAQs.</w:t>
      </w:r>
    </w:p>
    <w:p>
      <w:pPr>
        <w:pStyle w:val="ListBullet"/>
      </w:pPr>
      <w:r>
        <w:t>Set the final canonical URL, include the published page in the sitemap and link it from the research hub.</w:t>
      </w:r>
    </w:p>
    <w:p>
      <w:pPr>
        <w:pStyle w:val="ListBullet"/>
      </w:pPr>
      <w:r>
        <w:t>Keep the full article crawlable as HTML, including FAQs and references. Check indexing eligibility and rendered content in Search Console.</w:t>
      </w:r>
    </w:p>
    <w:p>
      <w:pPr>
        <w:pStyle w:val="ListBullet"/>
      </w:pPr>
      <w:r>
        <w:t>Use accurate Article and BreadcrumbList structured data when supported. Match markup to visible content and actual authorship; do not invent credentials or reviews.</w:t>
      </w:r>
    </w:p>
    <w:p>
      <w:pPr>
        <w:pStyle w:val="ListBullet"/>
      </w:pPr>
      <w:r>
        <w:t>Keep research references next to claims and distinguish biological mechanisms from demonstrated clinical outcomes. Google does not require special AI schema for AI Overviews or AI Mode; search rankings and AI citations are not guaranteed.</w:t>
      </w:r>
    </w:p>
    <w:p>
      <w:pPr>
        <w:pStyle w:val="ListBullet"/>
      </w:pPr>
      <w:r>
        <w:t>Show an actual publication or review date. Only credit a medical reviewer if that review has taken place.</w:t>
      </w:r>
    </w:p>
    <w:p>
      <w:r/>
      <w:hyperlink r:id="rId17">
        <w:r>
          <w:rPr>
            <w:color w:val="146B73"/>
          </w:rPr>
          <w:t>Google guidance on AI features and websites</w:t>
        </w:r>
      </w:hyperlink>
      <w:r/>
    </w:p>
    <w:p>
      <w:pPr>
        <w:pStyle w:val="Heading2"/>
      </w:pPr>
      <w:r>
        <w:t>Links and product details</w:t>
      </w:r>
    </w:p>
    <w:p>
      <w:r>
        <w:t>Confirm the Research Overview destination and reuse the existing Find Your Compound target. Verify the Quality &amp; Testing and COA routes. Enable related compound links only after their pages exist.</w:t>
      </w:r>
    </w:p>
    <w:p>
      <w:r>
        <w:t>Do not add purity percentages, batch numbers, vial quantities, shelf life or storage claims without supporting product documentation. A link to the COA directory does not imply that a matching batch report is available.</w:t>
      </w:r>
    </w:p>
    <w:p>
      <w:pPr>
        <w:pStyle w:val="Heading2"/>
      </w:pPr>
      <w:r>
        <w:t>Evidence distinction</w:t>
      </w:r>
    </w:p>
    <w:p>
      <w:r>
        <w:t>Retain the concern and retraction prominently in the introduction and research sections. Do not reproduce claimed potency multipliers, guaranteed brain penetration, dementia-treatment claims or growth-factor benefits from the affected papers. Recheck their publication records at the actual editorial review date.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eplab.com.au/research" TargetMode="External"/><Relationship Id="rId10" Type="http://schemas.openxmlformats.org/officeDocument/2006/relationships/hyperlink" Target="https://pubmed.ncbi.nlm.nih.gov/34551989/" TargetMode="External"/><Relationship Id="rId11" Type="http://schemas.openxmlformats.org/officeDocument/2006/relationships/hyperlink" Target="https://pubmed.ncbi.nlm.nih.gov/23055539/" TargetMode="External"/><Relationship Id="rId12" Type="http://schemas.openxmlformats.org/officeDocument/2006/relationships/hyperlink" Target="https://pubmed.ncbi.nlm.nih.gov/40312093/" TargetMode="External"/><Relationship Id="rId13" Type="http://schemas.openxmlformats.org/officeDocument/2006/relationships/hyperlink" Target="https://pubmed.ncbi.nlm.nih.gov/25187433/" TargetMode="External"/><Relationship Id="rId14" Type="http://schemas.openxmlformats.org/officeDocument/2006/relationships/hyperlink" Target="https://peplab.com.au/standards" TargetMode="External"/><Relationship Id="rId15" Type="http://schemas.openxmlformats.org/officeDocument/2006/relationships/hyperlink" Target="https://peplab.com.au/coa" TargetMode="External"/><Relationship Id="rId16" Type="http://schemas.openxmlformats.org/officeDocument/2006/relationships/hyperlink" Target="https://pubmed.ncbi.nlm.nih.gov/" TargetMode="External"/><Relationship Id="rId17" Type="http://schemas.openxmlformats.org/officeDocument/2006/relationships/hyperlink" Target="https://developers.google.com/search/docs/appearance/ai-featu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PEPLAB Dihexa Developer Handoff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