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PEPLAB FOXO4-DRI</w:t>
      </w:r>
    </w:p>
    <w:p>
      <w:r>
        <w:t>Website developer handoff</w:t>
      </w:r>
    </w:p>
    <w:p>
      <w:r>
        <w:t>Build this research page using the existing Retatrutide layout. This document contains SEO fields, complete page copy with clickable research references, and implementation notes. Publish only section 2 as the article.</w:t>
      </w:r>
    </w:p>
    <w:p>
      <w:pPr>
        <w:pStyle w:val="Heading2"/>
      </w:pPr>
      <w:r>
        <w:t>1 SEO settings</w:t>
      </w:r>
    </w:p>
    <w:p>
      <w:pPr>
        <w:pStyle w:val="ListBullet"/>
      </w:pPr>
      <w:r/>
      <w:r>
        <w:rPr>
          <w:b/>
        </w:rPr>
        <w:t>Title tag:</w:t>
      </w:r>
      <w:r>
        <w:t xml:space="preserve"> FOXO4-DRI Research Overview | PEPLAB</w:t>
      </w:r>
    </w:p>
    <w:p>
      <w:pPr>
        <w:pStyle w:val="ListBullet"/>
      </w:pPr>
      <w:r/>
      <w:r>
        <w:rPr>
          <w:b/>
        </w:rPr>
        <w:t>Meta description:</w:t>
      </w:r>
      <w:r>
        <w:t xml:space="preserve"> Explore FOXO4-DRI research on senescent cells and FOXO4–p53 interactions, including mouse studies, evidence limitations, FAQs and analytical testing.</w:t>
      </w:r>
    </w:p>
    <w:p>
      <w:pPr>
        <w:pStyle w:val="ListBullet"/>
      </w:pPr>
      <w:r/>
      <w:r>
        <w:rPr>
          <w:b/>
        </w:rPr>
        <w:t>Suggested URL:</w:t>
      </w:r>
      <w:r>
        <w:t xml:space="preserve"> https://peplab.com.au/research/compounds/foxo4-dri</w:t>
      </w:r>
    </w:p>
    <w:p>
      <w:pPr>
        <w:pStyle w:val="ListBullet"/>
      </w:pPr>
      <w:r/>
      <w:r>
        <w:rPr>
          <w:b/>
        </w:rPr>
        <w:t>Primary topic:</w:t>
      </w:r>
      <w:r>
        <w:t xml:space="preserve"> FOXO4-DRI research</w:t>
      </w:r>
    </w:p>
    <w:p>
      <w:r>
        <w:br w:type="page"/>
      </w:r>
    </w:p>
    <w:p>
      <w:r>
        <w:t>2 WEBSITE COPY START</w:t>
      </w:r>
    </w:p>
    <w:p>
      <w:r>
        <w:t>SENESCENCE / CELL BIOLOGY</w:t>
      </w:r>
    </w:p>
    <w:p>
      <w:pPr>
        <w:pStyle w:val="Heading1"/>
      </w:pPr>
      <w:r>
        <w:t>FOXO4-DRI Research Overview</w:t>
      </w:r>
    </w:p>
    <w:p>
      <w:pPr>
        <w:pStyle w:val="Heading2"/>
      </w:pPr>
      <w:r>
        <w:t>Senescent Cell and FOXO4–p53 Research</w:t>
      </w:r>
    </w:p>
    <w:p>
      <w:r>
        <w:t>FOXO4-DRI is an experimental peptide investigated for its effects on senescent cells. Preclinical studies have examined the interaction between FOXO4 and p53 and whether disrupting that interaction changes cell survival. These studies do not establish age reversal in people.</w:t>
      </w:r>
    </w:p>
    <w:p>
      <w:r>
        <w:t xml:space="preserve">For guidance on evaluating evidence, visit PEPLAB’s </w:t>
      </w:r>
      <w:hyperlink r:id="rId9">
        <w:r>
          <w:rPr>
            <w:color w:val="146B73"/>
          </w:rPr>
          <w:t>Research Overview</w:t>
        </w:r>
      </w:hyperlink>
      <w:r>
        <w:t>.</w:t>
      </w:r>
    </w:p>
    <w:p>
      <w:pPr>
        <w:pStyle w:val="Heading2"/>
      </w:pPr>
      <w:r>
        <w:t>What Is FOXO4-DRI?</w:t>
      </w:r>
    </w:p>
    <w:p>
      <w:r>
        <w:t>The name contains the letter O: FOXO4-DRI. DRI refers to a D-retro-inverso peptide design, involving reversed sequence order and D-amino-acid chemistry. Researchers developed this approach to interfere with a protein interaction associated with the survival of some senescent cells.</w:t>
      </w:r>
    </w:p>
    <w:tbl>
      <w:tblPr>
        <w:tblStyle w:val="TableGrid"/>
        <w:tblW w:type="auto" w:w="0"/>
        <w:tblLayout w:type="fixed"/>
        <w:tblLook w:firstColumn="1" w:firstRow="1" w:lastColumn="0" w:lastRow="0" w:noHBand="0" w:noVBand="1" w:val="04A0"/>
      </w:tblPr>
      <w:tblGrid>
        <w:gridCol w:w="2880"/>
        <w:gridCol w:w="7344"/>
      </w:tblGrid>
      <w:tr>
        <w:trPr>
          <w:cantSplit/>
          <w:tblHeader/>
        </w:trPr>
        <w:tc>
          <w:tcPr>
            <w:tcW w:type="dxa" w:w="288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Feature</w:t>
            </w:r>
          </w:p>
        </w:tc>
        <w:tc>
          <w:tcPr>
            <w:tcW w:type="dxa" w:w="7344"/>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Details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name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FOXO4-DRI</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Name clarification</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FOXO4 uses the letter O, not zero</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Compound type</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D-retro-inverso peptide</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Experimental target</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FOXO4–p53 interaction</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Research areas</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Cellular senescence and age-related tissue changes</w:t>
            </w:r>
          </w:p>
        </w:tc>
      </w:tr>
      <w:tr>
        <w:trPr>
          <w:cantSplit/>
        </w:trPr>
        <w:tc>
          <w:tcPr>
            <w:tcW w:type="dxa" w:w="288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Evidence discussed</w:t>
            </w:r>
          </w:p>
        </w:tc>
        <w:tc>
          <w:tcPr>
            <w:tcW w:type="dxa" w:w="7344"/>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Cell experiments and mouse studies</w:t>
            </w:r>
          </w:p>
        </w:tc>
      </w:tr>
    </w:tbl>
    <w:p>
      <w:pPr>
        <w:pStyle w:val="Heading2"/>
      </w:pPr>
      <w:r>
        <w:t>How Does FOXO4-DRI Work?</w:t>
      </w:r>
    </w:p>
    <w:p>
      <w:pPr>
        <w:pStyle w:val="Heading3"/>
      </w:pPr>
      <w:r>
        <w:t>Cellular Senescence</w:t>
      </w:r>
    </w:p>
    <w:p>
      <w:r>
        <w:t>Senescent cells have stopped dividing and may release signalling molecules that affect surrounding tissue. Their roles vary with tissue, timing and biological context.</w:t>
      </w:r>
    </w:p>
    <w:p>
      <w:pPr>
        <w:pStyle w:val="Heading3"/>
      </w:pPr>
      <w:r>
        <w:t>FOXO4 and p53</w:t>
      </w:r>
    </w:p>
    <w:p>
      <w:r>
        <w:t>The original research investigated how FOXO4 helps retain p53 in a cellular context associated with senescent-cell survival. Interfering with that interaction promoted apoptosis in the experimental systems.</w:t>
      </w:r>
    </w:p>
    <w:p>
      <w:pPr>
        <w:pStyle w:val="Heading3"/>
      </w:pPr>
      <w:r>
        <w:t>Senolytic Research</w:t>
      </w:r>
    </w:p>
    <w:p>
      <w:r>
        <w:t>Senolytic describes an approach intended to eliminate senescent cells. Selectivity observed in a model does not establish universal selectivity or safety in an intact human organism.</w:t>
      </w:r>
    </w:p>
    <w:p>
      <w:pPr>
        <w:pStyle w:val="Heading2"/>
      </w:pPr>
      <w:r>
        <w:t>FOXO4-DRI Research Findings</w:t>
      </w:r>
    </w:p>
    <w:p>
      <w:pPr>
        <w:pStyle w:val="Heading3"/>
      </w:pPr>
      <w:r>
        <w:t>Foundational Cell and Mouse Study</w:t>
      </w:r>
    </w:p>
    <w:p>
      <w:r>
        <w:t>A 2017 Cell paper reported targeted apoptosis of senescent cells and changes in tissue-related outcomes in mouse models of ageing and chemotherapy-associated injury. It was a preclinical study, not a human longevity trial.</w:t>
      </w:r>
    </w:p>
    <w:p>
      <w:r/>
      <w:hyperlink r:id="rId10">
        <w:r>
          <w:rPr>
            <w:color w:val="146B73"/>
          </w:rPr>
          <w:t>Read the original Cell study</w:t>
        </w:r>
      </w:hyperlink>
      <w:r>
        <w:t>.</w:t>
      </w:r>
    </w:p>
    <w:p>
      <w:pPr>
        <w:pStyle w:val="Heading3"/>
      </w:pPr>
      <w:r>
        <w:t>Leydig Cell and Hormone Research</w:t>
      </w:r>
    </w:p>
    <w:p>
      <w:r>
        <w:t>A 2020 study examined senescence-related changes and testosterone secretion in aged mice. The findings concerned an experimental testicular environment and cannot establish testosterone-restoration benefits in people.</w:t>
      </w:r>
    </w:p>
    <w:p>
      <w:r/>
      <w:hyperlink r:id="rId11">
        <w:r>
          <w:rPr>
            <w:color w:val="146B73"/>
          </w:rPr>
          <w:t>Read the aged-mouse study</w:t>
        </w:r>
      </w:hyperlink>
      <w:r>
        <w:t>.</w:t>
      </w:r>
    </w:p>
    <w:p>
      <w:pPr>
        <w:pStyle w:val="Heading3"/>
      </w:pPr>
      <w:r>
        <w:t>Spermatogenesis Research</w:t>
      </w:r>
    </w:p>
    <w:p>
      <w:r>
        <w:t>A 2024 study investigated Leydig-cell secretory signals and spermatogenesis in aged mice. Changes in these models provide a research hypothesis; human fertility, live-birth outcomes and long-term safety require separate evidence.</w:t>
      </w:r>
    </w:p>
    <w:p>
      <w:r/>
      <w:hyperlink r:id="rId12">
        <w:r>
          <w:rPr>
            <w:color w:val="146B73"/>
          </w:rPr>
          <w:t>Read the spermatogenesis study</w:t>
        </w:r>
      </w:hyperlink>
      <w:r>
        <w:t>.</w:t>
      </w:r>
    </w:p>
    <w:p>
      <w:pPr>
        <w:pStyle w:val="Heading2"/>
      </w:pPr>
      <w:r>
        <w:t>Research Findings at a Glance</w:t>
      </w:r>
    </w:p>
    <w:tbl>
      <w:tblPr>
        <w:tblStyle w:val="TableGrid"/>
        <w:tblW w:type="auto" w:w="0"/>
        <w:tblLayout w:type="fixed"/>
        <w:tblLook w:firstColumn="1" w:firstRow="1" w:lastColumn="0" w:lastRow="0" w:noHBand="0" w:noVBand="1" w:val="04A0"/>
      </w:tblPr>
      <w:tblGrid>
        <w:gridCol w:w="1800"/>
        <w:gridCol w:w="4032"/>
        <w:gridCol w:w="4392"/>
      </w:tblGrid>
      <w:tr>
        <w:trPr>
          <w:cantSplit/>
          <w:tblHeader/>
        </w:trPr>
        <w:tc>
          <w:tcPr>
            <w:tcW w:type="dxa" w:w="1800"/>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Research area</w:t>
            </w:r>
          </w:p>
        </w:tc>
        <w:tc>
          <w:tcPr>
            <w:tcW w:type="dxa" w:w="403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What studies investigate</w:t>
            </w:r>
          </w:p>
        </w:tc>
        <w:tc>
          <w:tcPr>
            <w:tcW w:type="dxa" w:w="4392"/>
            <w:vAlign w:val="center"/>
            <w:shd w:fill="E8EEF3"/>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sz w:val="20"/>
              </w:rPr>
              <w:t>Important distinction</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Cell survival</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Apoptosis in senescent-cell models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Selectivity depends on the model</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Ageing models</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Tissue and functional measurements in mice</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evidence of human age reversal</w:t>
            </w:r>
          </w:p>
        </w:tc>
      </w:tr>
      <w:tr>
        <w:trPr>
          <w:cantSplit/>
        </w:trPr>
        <w:tc>
          <w:tcPr>
            <w:tcW w:type="dxa" w:w="1800"/>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Reproductive biology</w:t>
            </w:r>
          </w:p>
        </w:tc>
        <w:tc>
          <w:tcPr>
            <w:tcW w:type="dxa" w:w="403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Testicular signals and spermatogenesis</w:t>
            </w:r>
          </w:p>
        </w:tc>
        <w:tc>
          <w:tcPr>
            <w:tcW w:type="dxa" w:w="4392"/>
            <w:vAlign w:val="center"/>
            <w:shd w:fill="FFFFFF"/>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60"/>
            </w:pPr>
            <w:r>
              <w:rPr>
                <w:b w:val="0"/>
                <w:sz w:val="20"/>
              </w:rPr>
              <w:t>Not a demonstrated human fertility treatment</w:t>
            </w:r>
          </w:p>
        </w:tc>
      </w:tr>
    </w:tbl>
    <w:p>
      <w:pPr>
        <w:pStyle w:val="Heading2"/>
      </w:pPr>
      <w:r>
        <w:t>Safety and Research Limitations</w:t>
      </w:r>
    </w:p>
    <w:p>
      <w:r>
        <w:t>The cited work does not establish comprehensive human safety, an effective human regimen or improved human lifespan. Eliminating cells can have consequences that depend on tissue and timing. Short experiments cannot resolve all effects on tissue maintenance, recovery or longer-term function.</w:t>
      </w:r>
    </w:p>
    <w:p>
      <w:r>
        <w:t>This page summarises scientific evidence and does not provide instructions for personal use.</w:t>
      </w:r>
    </w:p>
    <w:p>
      <w:pPr>
        <w:pStyle w:val="Heading2"/>
      </w:pPr>
      <w:r>
        <w:t>Understanding FOXO4-DRI Testing and COAs</w:t>
      </w:r>
    </w:p>
    <w:p>
      <w:r>
        <w:t>Analytical methods answer different questions. Review the compound name, sample or batch identifier, laboratory, testing date, methods and reported results.</w:t>
      </w:r>
    </w:p>
    <w:p>
      <w:pPr>
        <w:pStyle w:val="ListBullet"/>
      </w:pPr>
      <w:r/>
      <w:r>
        <w:rPr>
          <w:b/>
        </w:rPr>
        <w:t>Purity:</w:t>
      </w:r>
      <w:r>
        <w:t xml:space="preserve"> Chromatography measures the relative proportions of detected components under specified conditions.</w:t>
      </w:r>
    </w:p>
    <w:p>
      <w:pPr>
        <w:pStyle w:val="ListBullet"/>
      </w:pPr>
      <w:r/>
      <w:r>
        <w:rPr>
          <w:b/>
        </w:rPr>
        <w:t>Identity:</w:t>
      </w:r>
      <w:r>
        <w:t xml:space="preserve"> Mass spectrometry and complementary methods assess whether a sample is consistent with the stated molecule.</w:t>
      </w:r>
    </w:p>
    <w:p>
      <w:pPr>
        <w:pStyle w:val="ListBullet"/>
      </w:pPr>
      <w:r/>
      <w:r>
        <w:rPr>
          <w:b/>
        </w:rPr>
        <w:t>Content:</w:t>
      </w:r>
      <w:r>
        <w:t xml:space="preserve"> A validated quantitative assay measures the amount of the specified material.</w:t>
      </w:r>
    </w:p>
    <w:p>
      <w:r>
        <w:t>Confirm the full sequence, D-amino-acid configuration, terminal modifications and any delivery-related peptide segment. Routine mass measurement cannot distinguish D and L stereochemistry by itself. A purity percentage does not demonstrate senolytic activity or selective cell targeting.</w:t>
      </w:r>
    </w:p>
    <w:p>
      <w:r>
        <w:t xml:space="preserve">Purity does not establish sterility, endotoxin status or clinical effectiveness. Explore PEPLAB’s </w:t>
      </w:r>
      <w:hyperlink r:id="rId13">
        <w:r>
          <w:rPr>
            <w:color w:val="146B73"/>
          </w:rPr>
          <w:t>Quality &amp; Testing</w:t>
        </w:r>
      </w:hyperlink>
      <w:r>
        <w:t xml:space="preserve"> information and available </w:t>
      </w:r>
      <w:hyperlink r:id="rId14">
        <w:r>
          <w:rPr>
            <w:color w:val="146B73"/>
          </w:rPr>
          <w:t>COA Results</w:t>
        </w:r>
      </w:hyperlink>
      <w:r>
        <w:t>. Only treat a property as tested when the relevant measurement is reported.</w:t>
      </w:r>
    </w:p>
    <w:p>
      <w:pPr>
        <w:pStyle w:val="Heading2"/>
      </w:pPr>
      <w:r>
        <w:t>Frequently Asked Questions</w:t>
      </w:r>
    </w:p>
    <w:p>
      <w:pPr>
        <w:pStyle w:val="Heading3"/>
      </w:pPr>
      <w:r>
        <w:t>Is FOX04-DRI the correct spelling?</w:t>
      </w:r>
    </w:p>
    <w:p>
      <w:r>
        <w:t>The scientific spelling is FOXO4-DRI, with the letter O.</w:t>
      </w:r>
    </w:p>
    <w:p>
      <w:pPr>
        <w:pStyle w:val="Heading3"/>
      </w:pPr>
      <w:r>
        <w:t>What does DRI mean?</w:t>
      </w:r>
    </w:p>
    <w:p>
      <w:r>
        <w:t>D-retro-inverso, a peptide design involving reversed sequence order and D-amino acids.</w:t>
      </w:r>
    </w:p>
    <w:p>
      <w:pPr>
        <w:pStyle w:val="Heading3"/>
      </w:pPr>
      <w:r>
        <w:t>What is a senolytic?</w:t>
      </w:r>
    </w:p>
    <w:p>
      <w:r>
        <w:t>An intervention investigated for preferentially eliminating senescent cells.</w:t>
      </w:r>
    </w:p>
    <w:p>
      <w:pPr>
        <w:pStyle w:val="Heading3"/>
      </w:pPr>
      <w:r>
        <w:t>Has this page established human age reversal?</w:t>
      </w:r>
    </w:p>
    <w:p>
      <w:r>
        <w:t>No. The cited findings come from preclinical experiments.</w:t>
      </w:r>
    </w:p>
    <w:p>
      <w:pPr>
        <w:pStyle w:val="Heading3"/>
      </w:pPr>
      <w:r>
        <w:t>Do mouse testosterone findings establish a human benefit?</w:t>
      </w:r>
    </w:p>
    <w:p>
      <w:r>
        <w:t>No. Human endocrine and clinical outcomes need direct investigation.</w:t>
      </w:r>
    </w:p>
    <w:p>
      <w:pPr>
        <w:pStyle w:val="Heading3"/>
      </w:pPr>
      <w:r>
        <w:t>Does chemical purity prove selectivity?</w:t>
      </w:r>
    </w:p>
    <w:p>
      <w:r>
        <w:t>No. Identity, purity and biological selectivity are separate questions.</w:t>
      </w:r>
    </w:p>
    <w:p>
      <w:pPr>
        <w:pStyle w:val="Heading3"/>
      </w:pPr>
      <w:r>
        <w:t>Where can I find FOXO4-DRI research papers?</w:t>
      </w:r>
    </w:p>
    <w:p>
      <w:r>
        <w:t xml:space="preserve">Follow the original-source links above and search the compound name on </w:t>
      </w:r>
      <w:hyperlink r:id="rId15">
        <w:r>
          <w:rPr>
            <w:color w:val="146B73"/>
          </w:rPr>
          <w:t>PubMed</w:t>
        </w:r>
      </w:hyperlink>
      <w:r>
        <w:t>. Check the exact molecule, population and outcome in each publication.</w:t>
      </w:r>
    </w:p>
    <w:p>
      <w:pPr>
        <w:pStyle w:val="Heading2"/>
      </w:pPr>
      <w:r>
        <w:t>Explore PEPLAB Research</w:t>
      </w:r>
    </w:p>
    <w:p>
      <w:r>
        <w:t xml:space="preserve">Visit our </w:t>
      </w:r>
      <w:hyperlink r:id="rId9">
        <w:r>
          <w:rPr>
            <w:color w:val="146B73"/>
          </w:rPr>
          <w:t>Research Overview</w:t>
        </w:r>
      </w:hyperlink>
      <w:r>
        <w:t xml:space="preserve"> for guidance on scientific evidence and laboratory testing. Select Find Your Compound to explore other compound-specific research pages.</w:t>
      </w:r>
    </w:p>
    <w:p>
      <w:r/>
      <w:r>
        <w:rPr>
          <w:b/>
        </w:rPr>
        <w:t>Buttons:</w:t>
      </w:r>
      <w:r>
        <w:t xml:space="preserve"> Research Overview | Find Your Compound</w:t>
      </w:r>
    </w:p>
    <w:p>
      <w:r>
        <w:t>WEBSITE COPY END</w:t>
      </w:r>
    </w:p>
    <w:p>
      <w:r>
        <w:br w:type="page"/>
      </w:r>
    </w:p>
    <w:p>
      <w:pPr>
        <w:pStyle w:val="Heading2"/>
      </w:pPr>
      <w:r>
        <w:t>3 Developer and editorial notes</w:t>
      </w:r>
    </w:p>
    <w:p>
      <w:pPr>
        <w:pStyle w:val="Heading2"/>
      </w:pPr>
      <w:r>
        <w:t>SEO and AI search implementation</w:t>
      </w:r>
    </w:p>
    <w:p>
      <w:pPr>
        <w:pStyle w:val="ListBullet"/>
      </w:pPr>
      <w:r>
        <w:t>Match the Retatrutide research page layout and use one H1. Preserve H2 sections, H3 subsections, tables and visible FAQs.</w:t>
      </w:r>
    </w:p>
    <w:p>
      <w:pPr>
        <w:pStyle w:val="ListBullet"/>
      </w:pPr>
      <w:r>
        <w:t>Set the final canonical URL, include the published page in the sitemap and link it from the research hub.</w:t>
      </w:r>
    </w:p>
    <w:p>
      <w:pPr>
        <w:pStyle w:val="ListBullet"/>
      </w:pPr>
      <w:r>
        <w:t>Keep the full article crawlable as HTML, including FAQs and references. Check indexing eligibility and rendered content in Search Console.</w:t>
      </w:r>
    </w:p>
    <w:p>
      <w:pPr>
        <w:pStyle w:val="ListBullet"/>
      </w:pPr>
      <w:r>
        <w:t>Use accurate Article and BreadcrumbList structured data when supported. Match markup to visible content and actual authorship; do not invent credentials or reviews.</w:t>
      </w:r>
    </w:p>
    <w:p>
      <w:pPr>
        <w:pStyle w:val="ListBullet"/>
      </w:pPr>
      <w:r>
        <w:t>Keep research references next to claims and distinguish biological mechanisms from demonstrated clinical outcomes. Google does not require special AI schema for AI Overviews or AI Mode; search rankings and AI citations are not guaranteed.</w:t>
      </w:r>
    </w:p>
    <w:p>
      <w:pPr>
        <w:pStyle w:val="ListBullet"/>
      </w:pPr>
      <w:r>
        <w:t>Show an actual publication or review date. Only credit a medical reviewer if that review has taken place.</w:t>
      </w:r>
    </w:p>
    <w:p>
      <w:r/>
      <w:hyperlink r:id="rId16">
        <w:r>
          <w:rPr>
            <w:color w:val="146B73"/>
          </w:rPr>
          <w:t>Google guidance on AI features and websites</w:t>
        </w:r>
      </w:hyperlink>
      <w:r/>
    </w:p>
    <w:p>
      <w:pPr>
        <w:pStyle w:val="Heading2"/>
      </w:pPr>
      <w:r>
        <w:t>Links and product details</w:t>
      </w:r>
    </w:p>
    <w:p>
      <w:r>
        <w:t>Confirm the Research Overview destination and reuse the existing Find Your Compound target. Verify the Quality &amp; Testing and COA routes. Enable related compound links only after their pages exist.</w:t>
      </w:r>
    </w:p>
    <w:p>
      <w:r>
        <w:t>Do not add purity percentages, batch numbers, vial quantities, shelf life or storage claims without supporting product documentation. A link to the COA directory does not imply that a matching batch report is available.</w:t>
      </w:r>
    </w:p>
    <w:p>
      <w:pPr>
        <w:pStyle w:val="Heading2"/>
      </w:pPr>
      <w:r>
        <w:t>Evidence distinction</w:t>
      </w:r>
    </w:p>
    <w:p>
      <w:r>
        <w:t>Use FOXO4-DRI in the title, slug and article. The 2017 primary paper is PMID 28340339; do not substitute its accompanying commentary. Avoid lifespan-extension percentages or human rejuvenation claims.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eplab.com.au/research" TargetMode="External"/><Relationship Id="rId10" Type="http://schemas.openxmlformats.org/officeDocument/2006/relationships/hyperlink" Target="https://pubmed.ncbi.nlm.nih.gov/28340339/" TargetMode="External"/><Relationship Id="rId11" Type="http://schemas.openxmlformats.org/officeDocument/2006/relationships/hyperlink" Target="https://pubmed.ncbi.nlm.nih.gov/31959736/" TargetMode="External"/><Relationship Id="rId12" Type="http://schemas.openxmlformats.org/officeDocument/2006/relationships/hyperlink" Target="https://pubmed.ncbi.nlm.nih.gov/39025385/" TargetMode="External"/><Relationship Id="rId13" Type="http://schemas.openxmlformats.org/officeDocument/2006/relationships/hyperlink" Target="https://peplab.com.au/standards" TargetMode="External"/><Relationship Id="rId14" Type="http://schemas.openxmlformats.org/officeDocument/2006/relationships/hyperlink" Target="https://peplab.com.au/coa" TargetMode="External"/><Relationship Id="rId15" Type="http://schemas.openxmlformats.org/officeDocument/2006/relationships/hyperlink" Target="https://pubmed.ncbi.nlm.nih.gov/" TargetMode="External"/><Relationship Id="rId16" Type="http://schemas.openxmlformats.org/officeDocument/2006/relationships/hyperlink" Target="https://developers.google.com/search/docs/appearance/ai-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PEPLAB FOXO4-DRI Developer Handoff</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