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IGF-1 DES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IGF-1 DES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IGF-1 DES research on des(1–3)IGF-I, binding proteins and metabolic responses, with preclinical findings, evidence limits and testing guidance.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https://peplab.com.au/research/compounds/igf-1-des</w:t>
      </w:r>
    </w:p>
    <w:p>
      <w:pPr>
        <w:pStyle w:val="ListBullet"/>
      </w:pPr>
      <w:r/>
      <w:r>
        <w:rPr>
          <w:b/>
        </w:rPr>
        <w:t>Primary topic:</w:t>
      </w:r>
      <w:r>
        <w:t xml:space="preserve"> IGF-1 DES research</w:t>
      </w:r>
    </w:p>
    <w:p>
      <w:r>
        <w:br w:type="page"/>
      </w:r>
    </w:p>
    <w:p>
      <w:r>
        <w:t>2 WEBSITE COPY START</w:t>
      </w:r>
    </w:p>
    <w:p>
      <w:r>
        <w:t>GROWTH FACTORS / CELL SIGNALLING</w:t>
      </w:r>
    </w:p>
    <w:p>
      <w:pPr>
        <w:pStyle w:val="Heading1"/>
      </w:pPr>
      <w:r>
        <w:t>IGF-1 DES Research Overview</w:t>
      </w:r>
    </w:p>
    <w:p>
      <w:pPr>
        <w:pStyle w:val="Heading2"/>
      </w:pPr>
      <w:r>
        <w:t>Truncated IGF and Binding Protein Research</w:t>
      </w:r>
    </w:p>
    <w:p>
      <w:r>
        <w:t>IGF-1 DES refers to des(1–3)IGF-I, a truncated form of insulin-like growth factor-1. It has been investigated in cell and animal experiments for altered interactions with IGF-binding proteins. These findings do not establish predictable muscle growth or localised tissue growth in people.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IGF-1 DES?</w:t>
      </w:r>
    </w:p>
    <w:p>
      <w:r>
        <w:t>Des(1–3)IGF-I lacks the first three amino-acid residues of native IGF-I, leaving 67 residues. It is structurally different from IGF-1 LR3, which has a different set of modifications. Research should match the exact variant rather than treating all IGF-related compounds as interchangeable.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IGF-1 DES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Scientific designation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Des(1–3)IGF-I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Truncated growth-factor 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Length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67 amino-acid residues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Structural distinction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First three residues of native IGF-I removed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areas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Binding proteins, distribution and metabolic activity</w:t>
            </w:r>
          </w:p>
        </w:tc>
      </w:tr>
    </w:tbl>
    <w:p>
      <w:pPr>
        <w:pStyle w:val="Heading2"/>
      </w:pPr>
      <w:r>
        <w:t>How Does IGF-1 DES Work?</w:t>
      </w:r>
    </w:p>
    <w:p>
      <w:pPr>
        <w:pStyle w:val="Heading3"/>
      </w:pPr>
      <w:r>
        <w:t>IGF Receptor Activity</w:t>
      </w:r>
    </w:p>
    <w:p>
      <w:r>
        <w:t>IGF-related signalling affects cell growth and metabolism. Biological activity depends on more than receptor binding alone, including availability to tissues and interaction with binding proteins.</w:t>
      </w:r>
    </w:p>
    <w:p>
      <w:pPr>
        <w:pStyle w:val="Heading3"/>
      </w:pPr>
      <w:r>
        <w:t>Binding Protein Interactions</w:t>
      </w:r>
    </w:p>
    <w:p>
      <w:r>
        <w:t>The truncated variant has reduced interaction with several IGF-binding proteins. This can alter responses in an assay, but does not establish a universal potency multiplier across tissues or species.</w:t>
      </w:r>
    </w:p>
    <w:p>
      <w:pPr>
        <w:pStyle w:val="Heading3"/>
      </w:pPr>
      <w:r>
        <w:t>Distribution and Clearance</w:t>
      </w:r>
    </w:p>
    <w:p>
      <w:r>
        <w:t>Blood concentration, tissue distribution and duration of an effect are different measurements. Faster disappearance from plasma does not imply that a compound acts only near an administration site.</w:t>
      </w:r>
    </w:p>
    <w:p>
      <w:pPr>
        <w:pStyle w:val="Heading2"/>
      </w:pPr>
      <w:r>
        <w:t>IGF-1 DES Research Findings</w:t>
      </w:r>
    </w:p>
    <w:p>
      <w:pPr>
        <w:pStyle w:val="Heading3"/>
      </w:pPr>
      <w:r>
        <w:t>Binding Across Species</w:t>
      </w:r>
    </w:p>
    <w:p>
      <w:r>
        <w:t>A 1994 study compared IGF-I and variants, including des(1–3)IGF-I and LR3IGF-I, against plasma-binding proteins from different species. It showed why both molecular variant and biological system matter when interpreting availability.</w:t>
      </w:r>
    </w:p>
    <w:p>
      <w:r/>
      <w:hyperlink r:id="rId10">
        <w:r>
          <w:rPr>
            <w:color w:val="146B73"/>
          </w:rPr>
          <w:t>Read the binding-protein study</w:t>
        </w:r>
      </w:hyperlink>
      <w:r>
        <w:t>.</w:t>
      </w:r>
    </w:p>
    <w:p>
      <w:pPr>
        <w:pStyle w:val="Heading3"/>
      </w:pPr>
      <w:r>
        <w:t>Rat Distribution Study</w:t>
      </w:r>
    </w:p>
    <w:p>
      <w:r>
        <w:t>A 1991 study examined labelled IGFs in rats and found differences in clearance and distribution for des(1–3)IGF-I. These were animal pharmacokinetic measurements, not a validated human duration of action or evidence for site-specific muscle growth.</w:t>
      </w:r>
    </w:p>
    <w:p>
      <w:r/>
      <w:hyperlink r:id="rId11">
        <w:r>
          <w:rPr>
            <w:color w:val="146B73"/>
          </w:rPr>
          <w:t>Read the distribution study</w:t>
        </w:r>
      </w:hyperlink>
      <w:r>
        <w:t>.</w:t>
      </w:r>
    </w:p>
    <w:p>
      <w:pPr>
        <w:pStyle w:val="Heading3"/>
      </w:pPr>
      <w:r>
        <w:t>Glucose Effects in Animal Research</w:t>
      </w:r>
    </w:p>
    <w:p>
      <w:r>
        <w:t>A 1997 study in pigs and marmosets compared native IGF-I with variants that bind less strongly to binding proteins. Des(1–3)IGF-I showed greater glucose-lowering potency than native IGF-I under the tested conditions. This illustrates metabolic activity and potential harm, not simply a desirable growth effect.</w:t>
      </w:r>
    </w:p>
    <w:p>
      <w:r/>
      <w:hyperlink r:id="rId12">
        <w:r>
          <w:rPr>
            <w:color w:val="146B73"/>
          </w:rPr>
          <w:t>Read the metabolic study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Binding proteins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Association with different IGF variants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Assay and species influence findings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Pharmacokinetics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Clearance and tissue distribution in rats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a human half-life estimate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Metabolism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Glucose lowering in animals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Greater activity may also increase risk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Glucose lowering in animal studies is a relevant safety signal and should not be omitted from a growth-focused summary. The cited experiments do not establish a safe human regimen, long-term safety or reliable bodybuilding benefit. Findings for native IGF-I or IGF-1 LR3 cannot automatically define the safety of IGF-1 DES.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IGF-1 DES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Confirm the truncated sequence and distinguish it from native IGF-I and LR3IGF-I. Appropriate assessment should consider disulphide structure, aggregation, impurities and quantitative content. Molecular identity and biological activity require complementary methods; purity alone cannot establish correct folding or potency.</w:t>
      </w:r>
    </w:p>
    <w:p>
      <w:r>
        <w:t xml:space="preserve">Purity does not establish sterility, endotoxin status or clinical effectiveness. Explore PEPLAB’s </w:t>
      </w:r>
      <w:hyperlink r:id="rId13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4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What does DES mean here?</w:t>
      </w:r>
    </w:p>
    <w:p>
      <w:r>
        <w:t>It refers to removal of residues 1–3 from native IGF-I.</w:t>
      </w:r>
    </w:p>
    <w:p>
      <w:pPr>
        <w:pStyle w:val="Heading3"/>
      </w:pPr>
      <w:r>
        <w:t>How long is IGF-1 DES?</w:t>
      </w:r>
    </w:p>
    <w:p>
      <w:r>
        <w:t>The des(1–3) form contains 67 amino-acid residues.</w:t>
      </w:r>
    </w:p>
    <w:p>
      <w:pPr>
        <w:pStyle w:val="Heading3"/>
      </w:pPr>
      <w:r>
        <w:t>Is it the same as IGF-1 LR3?</w:t>
      </w:r>
    </w:p>
    <w:p>
      <w:r>
        <w:t>No. They have different structural modifications.</w:t>
      </w:r>
    </w:p>
    <w:p>
      <w:pPr>
        <w:pStyle w:val="Heading3"/>
      </w:pPr>
      <w:r>
        <w:t>Does lower binding-protein affinity mean a fixed potency increase?</w:t>
      </w:r>
    </w:p>
    <w:p>
      <w:r>
        <w:t>No. Relative activity depends on the experiment and outcome.</w:t>
      </w:r>
    </w:p>
    <w:p>
      <w:pPr>
        <w:pStyle w:val="Heading3"/>
      </w:pPr>
      <w:r>
        <w:t>Does it act only at one site?</w:t>
      </w:r>
    </w:p>
    <w:p>
      <w:r>
        <w:t>The cited evidence does not establish a local-only effect in people.</w:t>
      </w:r>
    </w:p>
    <w:p>
      <w:pPr>
        <w:pStyle w:val="Heading3"/>
      </w:pPr>
      <w:r>
        <w:t>Can it affect glucose?</w:t>
      </w:r>
    </w:p>
    <w:p>
      <w:r>
        <w:t>Yes. Glucose-lowering effects were demonstrated in the cited animal study.</w:t>
      </w:r>
    </w:p>
    <w:p>
      <w:pPr>
        <w:pStyle w:val="Heading3"/>
      </w:pPr>
      <w:r>
        <w:t>Where can I find IGF-1 DES research papers?</w:t>
      </w:r>
    </w:p>
    <w:p>
      <w:r>
        <w:t xml:space="preserve">Follow the original-source links above and search the compound name on </w:t>
      </w:r>
      <w:hyperlink r:id="rId15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6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No numeric potency multiplier, human half-life, local-growth promise or human dosing conversion is established by this page. Keep the glucose findings visible and do not borrow clinical claims from native IGF-I products.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7514204/" TargetMode="External"/><Relationship Id="rId11" Type="http://schemas.openxmlformats.org/officeDocument/2006/relationships/hyperlink" Target="https://pubmed.ncbi.nlm.nih.gov/2005410/" TargetMode="External"/><Relationship Id="rId12" Type="http://schemas.openxmlformats.org/officeDocument/2006/relationships/hyperlink" Target="https://pubmed.ncbi.nlm.nih.gov/9415072/" TargetMode="External"/><Relationship Id="rId13" Type="http://schemas.openxmlformats.org/officeDocument/2006/relationships/hyperlink" Target="https://peplab.com.au/standards" TargetMode="External"/><Relationship Id="rId14" Type="http://schemas.openxmlformats.org/officeDocument/2006/relationships/hyperlink" Target="https://peplab.com.au/coa" TargetMode="External"/><Relationship Id="rId15" Type="http://schemas.openxmlformats.org/officeDocument/2006/relationships/hyperlink" Target="https://pubmed.ncbi.nlm.nih.gov/" TargetMode="External"/><Relationship Id="rId16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IGF-1 DES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