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PEPLAB LL-37</w:t>
      </w:r>
    </w:p>
    <w:p>
      <w:r>
        <w:t>Website developer handoff</w:t>
      </w:r>
    </w:p>
    <w:p>
      <w:r>
        <w:t>Build this research page using the existing Retatrutide layout. This document contains SEO fields, complete page copy with clickable research references, and implementation notes. Publish only section 2 as the article.</w:t>
      </w:r>
    </w:p>
    <w:p>
      <w:pPr>
        <w:pStyle w:val="Heading2"/>
      </w:pPr>
      <w:r>
        <w:t>1 SEO settings</w:t>
      </w:r>
    </w:p>
    <w:p>
      <w:pPr>
        <w:pStyle w:val="ListBullet"/>
      </w:pPr>
      <w:r/>
      <w:r>
        <w:rPr>
          <w:b/>
        </w:rPr>
        <w:t>Title tag:</w:t>
      </w:r>
      <w:r>
        <w:t xml:space="preserve"> LL-37 Research Overview | PEPLAB</w:t>
      </w:r>
    </w:p>
    <w:p>
      <w:pPr>
        <w:pStyle w:val="ListBullet"/>
      </w:pPr>
      <w:r/>
      <w:r>
        <w:rPr>
          <w:b/>
        </w:rPr>
        <w:t>Meta description:</w:t>
      </w:r>
      <w:r>
        <w:t xml:space="preserve"> Explore LL-37 research on cathelicidin biology and topical wound studies, with human trial findings, evidence limitations, FAQs and analytical testing.</w:t>
      </w:r>
    </w:p>
    <w:p>
      <w:pPr>
        <w:pStyle w:val="ListBullet"/>
      </w:pPr>
      <w:r/>
      <w:r>
        <w:rPr>
          <w:b/>
        </w:rPr>
        <w:t>Suggested URL:</w:t>
      </w:r>
      <w:r>
        <w:t xml:space="preserve"> https://peplab.com.au/research/compounds/ll-37</w:t>
      </w:r>
    </w:p>
    <w:p>
      <w:pPr>
        <w:pStyle w:val="ListBullet"/>
      </w:pPr>
      <w:r/>
      <w:r>
        <w:rPr>
          <w:b/>
        </w:rPr>
        <w:t>Primary topic:</w:t>
      </w:r>
      <w:r>
        <w:t xml:space="preserve"> LL-37 research</w:t>
      </w:r>
    </w:p>
    <w:p>
      <w:r>
        <w:br w:type="page"/>
      </w:r>
    </w:p>
    <w:p>
      <w:r>
        <w:t>2 WEBSITE COPY START</w:t>
      </w:r>
    </w:p>
    <w:p>
      <w:r>
        <w:t>HOST DEFENCE PEPTIDES / WOUND RESEARCH</w:t>
      </w:r>
    </w:p>
    <w:p>
      <w:pPr>
        <w:pStyle w:val="Heading1"/>
      </w:pPr>
      <w:r>
        <w:t>LL-37 Research Overview</w:t>
      </w:r>
    </w:p>
    <w:p>
      <w:pPr>
        <w:pStyle w:val="Heading2"/>
      </w:pPr>
      <w:r>
        <w:t>Cathelicidin Biology and Human Wound Studies</w:t>
      </w:r>
    </w:p>
    <w:p>
      <w:r>
        <w:t>LL-37 is a human cathelicidin peptide involved in host defence and tissue-response signalling. Research includes laboratory antimicrobial experiments and human trials of topical wound formulations. These are different evidence settings and should not be combined into a blanket claim that LL-37 treats infections or accelerates all healing.</w:t>
      </w:r>
    </w:p>
    <w:p>
      <w:r>
        <w:t xml:space="preserve">For guidance on evaluating evidence, visit PEPLAB’s </w:t>
      </w:r>
      <w:hyperlink r:id="rId9">
        <w:r>
          <w:rPr>
            <w:color w:val="146B73"/>
          </w:rPr>
          <w:t>Research Overview</w:t>
        </w:r>
      </w:hyperlink>
      <w:r>
        <w:t>.</w:t>
      </w:r>
    </w:p>
    <w:p>
      <w:pPr>
        <w:pStyle w:val="Heading2"/>
      </w:pPr>
      <w:r>
        <w:t>What Is LL-37?</w:t>
      </w:r>
    </w:p>
    <w:p>
      <w:r>
        <w:t>LL-37 is the 37-amino-acid peptide released from the precursor protein hCAP18. Its name reflects its two initial leucine residues and its length. The precursor, mature peptide and shorter fragments are distinct materials with potentially different activities.</w:t>
      </w:r>
    </w:p>
    <w:tbl>
      <w:tblPr>
        <w:tblStyle w:val="TableGrid"/>
        <w:tblW w:type="auto" w:w="0"/>
        <w:tblLayout w:type="fixed"/>
        <w:tblLook w:firstColumn="1" w:firstRow="1" w:lastColumn="0" w:lastRow="0" w:noHBand="0" w:noVBand="1" w:val="04A0"/>
      </w:tblPr>
      <w:tblGrid>
        <w:gridCol w:w="2880"/>
        <w:gridCol w:w="7344"/>
      </w:tblGrid>
      <w:tr>
        <w:trPr>
          <w:cantSplit/>
          <w:tblHeader/>
        </w:trPr>
        <w:tc>
          <w:tcPr>
            <w:tcW w:type="dxa" w:w="288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Feature</w:t>
            </w:r>
          </w:p>
        </w:tc>
        <w:tc>
          <w:tcPr>
            <w:tcW w:type="dxa" w:w="7344"/>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Details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LL-37</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Peptide family</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Human cathelicidin</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Precursor</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hCAP18</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Length</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37 amino-acid residues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Research areas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Host defence, cell signalling and wound responses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Human evidence discussed</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Topical studies in venous leg ulcers</w:t>
            </w:r>
          </w:p>
        </w:tc>
      </w:tr>
    </w:tbl>
    <w:p>
      <w:pPr>
        <w:pStyle w:val="Heading2"/>
      </w:pPr>
      <w:r>
        <w:t>How Does LL-37 Work?</w:t>
      </w:r>
    </w:p>
    <w:p>
      <w:pPr>
        <w:pStyle w:val="Heading3"/>
      </w:pPr>
      <w:r>
        <w:t>Precursor Processing</w:t>
      </w:r>
    </w:p>
    <w:p>
      <w:r>
        <w:t xml:space="preserve">Cleavage of hCAP18 releases LL-37. A 2001 study investigated processing by proteinase 3, helping establish the relationship between precursor and mature peptide. </w:t>
      </w:r>
      <w:hyperlink r:id="rId10">
        <w:r>
          <w:rPr>
            <w:color w:val="146B73"/>
          </w:rPr>
          <w:t>Read the processing study</w:t>
        </w:r>
      </w:hyperlink>
      <w:r>
        <w:t>.</w:t>
      </w:r>
    </w:p>
    <w:p>
      <w:pPr>
        <w:pStyle w:val="Heading3"/>
      </w:pPr>
      <w:r>
        <w:t>Membrane and Cell Effects</w:t>
      </w:r>
    </w:p>
    <w:p>
      <w:r>
        <w:t>LL-37 can affect microbial membranes and host-cell responses in experimental systems. Activity depends on concentration and biological conditions; antimicrobial activity in a dish is not evidence of successful systemic infection treatment.</w:t>
      </w:r>
    </w:p>
    <w:p>
      <w:pPr>
        <w:pStyle w:val="Heading3"/>
      </w:pPr>
      <w:r>
        <w:t>Wound Biology</w:t>
      </w:r>
    </w:p>
    <w:p>
      <w:r>
        <w:t>Healing depends on local cells, blood supply, inflammation and underlying disease. A peptide formulation studied alongside compression therapy must be interpreted as part of that specific protocol.</w:t>
      </w:r>
    </w:p>
    <w:p>
      <w:pPr>
        <w:pStyle w:val="Heading2"/>
      </w:pPr>
      <w:r>
        <w:t>LL-37 Research Findings</w:t>
      </w:r>
    </w:p>
    <w:p>
      <w:pPr>
        <w:pStyle w:val="Heading3"/>
      </w:pPr>
      <w:r>
        <w:t>Early Venous Ulcer Trial</w:t>
      </w:r>
    </w:p>
    <w:p>
      <w:r>
        <w:t>A 2014 randomised, placebo-controlled trial included 34 participants with hard-to-heal venous leg ulcers. Some tested topical concentrations improved healing-rate measurements. The small study evaluated a local formulation, not systemic administration.</w:t>
      </w:r>
    </w:p>
    <w:p>
      <w:r/>
      <w:hyperlink r:id="rId11">
        <w:r>
          <w:rPr>
            <w:color w:val="146B73"/>
          </w:rPr>
          <w:t>Read the early clinical trial</w:t>
        </w:r>
      </w:hyperlink>
      <w:r>
        <w:t>.</w:t>
      </w:r>
    </w:p>
    <w:p>
      <w:pPr>
        <w:pStyle w:val="Heading3"/>
      </w:pPr>
      <w:r>
        <w:t>Larger HEAL LL-37 Trial</w:t>
      </w:r>
    </w:p>
    <w:p>
      <w:r>
        <w:t>The 2021 phase IIb report studied topical LL-37 alongside compression therapy in 148 treated participants. It did not demonstrate a significant benefit in the full study population. A later analysis suggested benefit in a subgroup with larger ulcers, which requires confirmation.</w:t>
      </w:r>
    </w:p>
    <w:p>
      <w:r/>
      <w:hyperlink r:id="rId12">
        <w:r>
          <w:rPr>
            <w:color w:val="146B73"/>
          </w:rPr>
          <w:t>Read the phase IIb trial</w:t>
        </w:r>
      </w:hyperlink>
      <w:r>
        <w:t>.</w:t>
      </w:r>
    </w:p>
    <w:p>
      <w:pPr>
        <w:pStyle w:val="Heading3"/>
      </w:pPr>
      <w:r>
        <w:t>Interpreting Subgroup Findings</w:t>
      </w:r>
    </w:p>
    <w:p>
      <w:r>
        <w:t>The larger-ulcer analysis was post hoc and involved small groups. It is useful for generating a research question, but should not replace the overall trial result or be presented as a confirmed treatment effect for every wound.</w:t>
      </w:r>
    </w:p>
    <w:p>
      <w:r/>
      <w:hyperlink r:id="rId13">
        <w:r>
          <w:rPr>
            <w:color w:val="146B73"/>
          </w:rPr>
          <w:t>Review the full trial report</w:t>
        </w:r>
      </w:hyperlink>
      <w:r>
        <w:t>.</w:t>
      </w:r>
    </w:p>
    <w:p>
      <w:pPr>
        <w:pStyle w:val="Heading2"/>
      </w:pPr>
      <w:r>
        <w:t>Research Findings at a Glance</w:t>
      </w:r>
    </w:p>
    <w:tbl>
      <w:tblPr>
        <w:tblStyle w:val="TableGrid"/>
        <w:tblW w:type="auto" w:w="0"/>
        <w:tblLayout w:type="fixed"/>
        <w:tblLook w:firstColumn="1" w:firstRow="1" w:lastColumn="0" w:lastRow="0" w:noHBand="0" w:noVBand="1" w:val="04A0"/>
      </w:tblPr>
      <w:tblGrid>
        <w:gridCol w:w="1800"/>
        <w:gridCol w:w="4032"/>
        <w:gridCol w:w="4392"/>
      </w:tblGrid>
      <w:tr>
        <w:trPr>
          <w:cantSplit/>
          <w:tblHeader/>
        </w:trPr>
        <w:tc>
          <w:tcPr>
            <w:tcW w:type="dxa" w:w="180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Research area</w:t>
            </w:r>
          </w:p>
        </w:tc>
        <w:tc>
          <w:tcPr>
            <w:tcW w:type="dxa" w:w="403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What studies investigate</w:t>
            </w:r>
          </w:p>
        </w:tc>
        <w:tc>
          <w:tcPr>
            <w:tcW w:type="dxa" w:w="439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Important distinction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Host defence</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Laboratory antimicrobial and cellular activity</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Not proof of clinical infection treatment</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Topical wounds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Healing with a defined local preparation</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Route and background care matter</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Larger trial</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Overall and subgroup outcomes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The overall result was not significantly positive</w:t>
            </w:r>
          </w:p>
        </w:tc>
      </w:tr>
    </w:tbl>
    <w:p>
      <w:pPr>
        <w:pStyle w:val="Heading2"/>
      </w:pPr>
      <w:r>
        <w:t>Safety and Research Limitations</w:t>
      </w:r>
    </w:p>
    <w:p>
      <w:r>
        <w:t>Local tolerability in a wound trial does not establish the safety of systemic LL-37 exposure. Membrane-active and immune-related effects need assessment in the actual preparation and setting. The clinical evidence here cannot establish treatment for bacterial, viral or fungal infections, nor does it justify replacing indicated antimicrobial care.</w:t>
      </w:r>
    </w:p>
    <w:p>
      <w:r>
        <w:t>This page summarises scientific evidence and does not provide instructions for personal use.</w:t>
      </w:r>
    </w:p>
    <w:p>
      <w:pPr>
        <w:pStyle w:val="Heading2"/>
      </w:pPr>
      <w:r>
        <w:t>Understanding LL-37 Testing and COAs</w:t>
      </w:r>
    </w:p>
    <w:p>
      <w:r>
        <w:t>Analytical methods answer different questions. Review the compound name, sample or batch identifier, laboratory, testing date, methods and reported results.</w:t>
      </w:r>
    </w:p>
    <w:p>
      <w:pPr>
        <w:pStyle w:val="ListBullet"/>
      </w:pPr>
      <w:r/>
      <w:r>
        <w:rPr>
          <w:b/>
        </w:rPr>
        <w:t>Purity:</w:t>
      </w:r>
      <w:r>
        <w:t xml:space="preserve"> Chromatography measures the relative proportions of detected components under specified conditions.</w:t>
      </w:r>
    </w:p>
    <w:p>
      <w:pPr>
        <w:pStyle w:val="ListBullet"/>
      </w:pPr>
      <w:r/>
      <w:r>
        <w:rPr>
          <w:b/>
        </w:rPr>
        <w:t>Identity:</w:t>
      </w:r>
      <w:r>
        <w:t xml:space="preserve"> Mass spectrometry and complementary methods assess whether a sample is consistent with the stated molecule.</w:t>
      </w:r>
    </w:p>
    <w:p>
      <w:pPr>
        <w:pStyle w:val="ListBullet"/>
      </w:pPr>
      <w:r/>
      <w:r>
        <w:rPr>
          <w:b/>
        </w:rPr>
        <w:t>Content:</w:t>
      </w:r>
      <w:r>
        <w:t xml:space="preserve"> A validated quantitative assay measures the amount of the specified material.</w:t>
      </w:r>
    </w:p>
    <w:p>
      <w:r>
        <w:t>Confirm the full 37-residue sequence and distinguish LL-37 from hCAP18 or shorter fragments. Quantify peptide content and relevant impurities. Because immune-response assays can be sensitive to endotoxin contamination, endotoxin results and assay controls should be assessed separately from chemical purity.</w:t>
      </w:r>
    </w:p>
    <w:p>
      <w:r>
        <w:t xml:space="preserve">Purity does not establish sterility, endotoxin status or clinical effectiveness. Explore PEPLAB’s </w:t>
      </w:r>
      <w:hyperlink r:id="rId14">
        <w:r>
          <w:rPr>
            <w:color w:val="146B73"/>
          </w:rPr>
          <w:t>Quality &amp; Testing</w:t>
        </w:r>
      </w:hyperlink>
      <w:r>
        <w:t xml:space="preserve"> information and available </w:t>
      </w:r>
      <w:hyperlink r:id="rId15">
        <w:r>
          <w:rPr>
            <w:color w:val="146B73"/>
          </w:rPr>
          <w:t>COA Results</w:t>
        </w:r>
      </w:hyperlink>
      <w:r>
        <w:t>. Only treat a property as tested when the relevant measurement is reported.</w:t>
      </w:r>
    </w:p>
    <w:p>
      <w:pPr>
        <w:pStyle w:val="Heading2"/>
      </w:pPr>
      <w:r>
        <w:t>Frequently Asked Questions</w:t>
      </w:r>
    </w:p>
    <w:p>
      <w:pPr>
        <w:pStyle w:val="Heading3"/>
      </w:pPr>
      <w:r>
        <w:t>What does LL-37 mean?</w:t>
      </w:r>
    </w:p>
    <w:p>
      <w:r>
        <w:t>A 37-residue peptide whose first two residues are leucine.</w:t>
      </w:r>
    </w:p>
    <w:p>
      <w:pPr>
        <w:pStyle w:val="Heading3"/>
      </w:pPr>
      <w:r>
        <w:t>Is LL-37 the same as hCAP18?</w:t>
      </w:r>
    </w:p>
    <w:p>
      <w:r>
        <w:t>No. LL-37 is released from that larger precursor.</w:t>
      </w:r>
    </w:p>
    <w:p>
      <w:pPr>
        <w:pStyle w:val="Heading3"/>
      </w:pPr>
      <w:r>
        <w:t>Has LL-37 been studied in humans?</w:t>
      </w:r>
    </w:p>
    <w:p>
      <w:r>
        <w:t>Yes. The cited trials tested topical formulations in venous leg ulcers.</w:t>
      </w:r>
    </w:p>
    <w:p>
      <w:pPr>
        <w:pStyle w:val="Heading3"/>
      </w:pPr>
      <w:r>
        <w:t>Was the larger trial positive overall?</w:t>
      </w:r>
    </w:p>
    <w:p>
      <w:r>
        <w:t>No. It did not show a significant benefit across the full study population.</w:t>
      </w:r>
    </w:p>
    <w:p>
      <w:pPr>
        <w:pStyle w:val="Heading3"/>
      </w:pPr>
      <w:r>
        <w:t>Do topical findings validate injections?</w:t>
      </w:r>
    </w:p>
    <w:p>
      <w:r>
        <w:t>No. Different routes require separate safety and efficacy evidence.</w:t>
      </w:r>
    </w:p>
    <w:p>
      <w:pPr>
        <w:pStyle w:val="Heading3"/>
      </w:pPr>
      <w:r>
        <w:t>Does antimicrobial activity prove infection treatment?</w:t>
      </w:r>
    </w:p>
    <w:p>
      <w:r>
        <w:t>No. Laboratory activity and clinical treatment outcomes are distinct.</w:t>
      </w:r>
    </w:p>
    <w:p>
      <w:pPr>
        <w:pStyle w:val="Heading3"/>
      </w:pPr>
      <w:r>
        <w:t>Where can I find LL-37 research papers?</w:t>
      </w:r>
    </w:p>
    <w:p>
      <w:r>
        <w:t xml:space="preserve">Follow the original-source links above and search the compound name on </w:t>
      </w:r>
      <w:hyperlink r:id="rId16">
        <w:r>
          <w:rPr>
            <w:color w:val="146B73"/>
          </w:rPr>
          <w:t>PubMed</w:t>
        </w:r>
      </w:hyperlink>
      <w:r>
        <w:t>. Check the exact molecule, population and outcome in each publication.</w:t>
      </w:r>
    </w:p>
    <w:p>
      <w:pPr>
        <w:pStyle w:val="Heading2"/>
      </w:pPr>
      <w:r>
        <w:t>Explore PEPLAB Research</w:t>
      </w:r>
    </w:p>
    <w:p>
      <w:r>
        <w:t xml:space="preserve">Visit our </w:t>
      </w:r>
      <w:hyperlink r:id="rId9">
        <w:r>
          <w:rPr>
            <w:color w:val="146B73"/>
          </w:rPr>
          <w:t>Research Overview</w:t>
        </w:r>
      </w:hyperlink>
      <w:r>
        <w:t xml:space="preserve"> for guidance on scientific evidence and laboratory testing. Select Find Your Compound to explore other compound-specific research pages.</w:t>
      </w:r>
    </w:p>
    <w:p>
      <w:r/>
      <w:r>
        <w:rPr>
          <w:b/>
        </w:rPr>
        <w:t>Buttons:</w:t>
      </w:r>
      <w:r>
        <w:t xml:space="preserve"> Research Overview | Find Your Compound</w:t>
      </w:r>
    </w:p>
    <w:p>
      <w:r>
        <w:t>WEBSITE COPY END</w:t>
      </w:r>
    </w:p>
    <w:p>
      <w:r>
        <w:br w:type="page"/>
      </w:r>
    </w:p>
    <w:p>
      <w:pPr>
        <w:pStyle w:val="Heading2"/>
      </w:pPr>
      <w:r>
        <w:t>3 Developer and editorial notes</w:t>
      </w:r>
    </w:p>
    <w:p>
      <w:pPr>
        <w:pStyle w:val="Heading2"/>
      </w:pPr>
      <w:r>
        <w:t>SEO and AI search implementation</w:t>
      </w:r>
    </w:p>
    <w:p>
      <w:pPr>
        <w:pStyle w:val="ListBullet"/>
      </w:pPr>
      <w:r>
        <w:t>Match the Retatrutide research page layout and use one H1. Preserve H2 sections, H3 subsections, tables and visible FAQs.</w:t>
      </w:r>
    </w:p>
    <w:p>
      <w:pPr>
        <w:pStyle w:val="ListBullet"/>
      </w:pPr>
      <w:r>
        <w:t>Set the final canonical URL, include the published page in the sitemap and link it from the research hub.</w:t>
      </w:r>
    </w:p>
    <w:p>
      <w:pPr>
        <w:pStyle w:val="ListBullet"/>
      </w:pPr>
      <w:r>
        <w:t>Keep the full article crawlable as HTML, including FAQs and references. Check indexing eligibility and rendered content in Search Console.</w:t>
      </w:r>
    </w:p>
    <w:p>
      <w:pPr>
        <w:pStyle w:val="ListBullet"/>
      </w:pPr>
      <w:r>
        <w:t>Use accurate Article and BreadcrumbList structured data when supported. Match markup to visible content and actual authorship; do not invent credentials or reviews.</w:t>
      </w:r>
    </w:p>
    <w:p>
      <w:pPr>
        <w:pStyle w:val="ListBullet"/>
      </w:pPr>
      <w:r>
        <w:t>Keep research references next to claims and distinguish biological mechanisms from demonstrated clinical outcomes. Google does not require special AI schema for AI Overviews or AI Mode; search rankings and AI citations are not guaranteed.</w:t>
      </w:r>
    </w:p>
    <w:p>
      <w:pPr>
        <w:pStyle w:val="ListBullet"/>
      </w:pPr>
      <w:r>
        <w:t>Show an actual publication or review date. Only credit a medical reviewer if that review has taken place.</w:t>
      </w:r>
    </w:p>
    <w:p>
      <w:r/>
      <w:hyperlink r:id="rId17">
        <w:r>
          <w:rPr>
            <w:color w:val="146B73"/>
          </w:rPr>
          <w:t>Google guidance on AI features and websites</w:t>
        </w:r>
      </w:hyperlink>
      <w:r/>
    </w:p>
    <w:p>
      <w:pPr>
        <w:pStyle w:val="Heading2"/>
      </w:pPr>
      <w:r>
        <w:t>Links and product details</w:t>
      </w:r>
    </w:p>
    <w:p>
      <w:r>
        <w:t>Confirm the Research Overview destination and reuse the existing Find Your Compound target. Verify the Quality &amp; Testing and COA routes. Enable related compound links only after their pages exist.</w:t>
      </w:r>
    </w:p>
    <w:p>
      <w:r>
        <w:t>Do not add purity percentages, batch numbers, vial quantities, shelf life or storage claims without supporting product documentation. A link to the COA directory does not imply that a matching batch report is available.</w:t>
      </w:r>
    </w:p>
    <w:p>
      <w:pPr>
        <w:pStyle w:val="Heading2"/>
      </w:pPr>
      <w:r>
        <w:t>Evidence distinction</w:t>
      </w:r>
    </w:p>
    <w:p>
      <w:r>
        <w:t>Retain the negative overall phase IIb result and label the larger-ulcer analysis as post hoc. Do not promote systemic antimicrobial efficacy from laboratory experiments. Avoid broad immune-boosting or all-wound-healing claims.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plab.com.au/research" TargetMode="External"/><Relationship Id="rId10" Type="http://schemas.openxmlformats.org/officeDocument/2006/relationships/hyperlink" Target="https://pubmed.ncbi.nlm.nih.gov/11389039/" TargetMode="External"/><Relationship Id="rId11" Type="http://schemas.openxmlformats.org/officeDocument/2006/relationships/hyperlink" Target="https://pubmed.ncbi.nlm.nih.gov/25041740/" TargetMode="External"/><Relationship Id="rId12" Type="http://schemas.openxmlformats.org/officeDocument/2006/relationships/hyperlink" Target="https://pubmed.ncbi.nlm.nih.gov/34687253/" TargetMode="External"/><Relationship Id="rId13" Type="http://schemas.openxmlformats.org/officeDocument/2006/relationships/hyperlink" Target="https://pmc.ncbi.nlm.nih.gov/articles/PMC9298190/" TargetMode="External"/><Relationship Id="rId14" Type="http://schemas.openxmlformats.org/officeDocument/2006/relationships/hyperlink" Target="https://peplab.com.au/standards" TargetMode="External"/><Relationship Id="rId15" Type="http://schemas.openxmlformats.org/officeDocument/2006/relationships/hyperlink" Target="https://peplab.com.au/coa" TargetMode="External"/><Relationship Id="rId16" Type="http://schemas.openxmlformats.org/officeDocument/2006/relationships/hyperlink" Target="https://pubmed.ncbi.nlm.nih.gov/" TargetMode="External"/><Relationship Id="rId17" Type="http://schemas.openxmlformats.org/officeDocument/2006/relationships/hyperlink" Target="https://developers.google.com/search/docs/appearance/ai-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PEPLAB LL-37 Developer Handoff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