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PEPLAB P21</w:t>
      </w:r>
    </w:p>
    <w:p>
      <w:r>
        <w:t>Website developer handoff</w:t>
      </w:r>
    </w:p>
    <w:p>
      <w:r>
        <w:t>Build this research page using the existing Retatrutide layout. This document contains SEO fields, complete page copy with clickable research references, and implementation notes. Publish only section 2 as the article.</w:t>
      </w:r>
    </w:p>
    <w:p>
      <w:pPr>
        <w:pStyle w:val="Heading2"/>
      </w:pPr>
      <w:r>
        <w:t>1 SEO settings</w:t>
      </w:r>
    </w:p>
    <w:p>
      <w:pPr>
        <w:pStyle w:val="ListBullet"/>
      </w:pPr>
      <w:r/>
      <w:r>
        <w:rPr>
          <w:b/>
        </w:rPr>
        <w:t>Title tag:</w:t>
      </w:r>
      <w:r>
        <w:t xml:space="preserve"> P21 Research Overview | PEPLAB</w:t>
      </w:r>
    </w:p>
    <w:p>
      <w:pPr>
        <w:pStyle w:val="ListBullet"/>
      </w:pPr>
      <w:r/>
      <w:r>
        <w:rPr>
          <w:b/>
        </w:rPr>
        <w:t>Meta description:</w:t>
      </w:r>
      <w:r>
        <w:t xml:space="preserve"> Explore P21 research in the context of P021, including CNTF-derived peptide design, animal neuroplasticity studies, identity checks and evidence limits.</w:t>
      </w:r>
    </w:p>
    <w:p>
      <w:pPr>
        <w:pStyle w:val="ListBullet"/>
      </w:pPr>
      <w:r/>
      <w:r>
        <w:rPr>
          <w:b/>
        </w:rPr>
        <w:t>Suggested URL:</w:t>
      </w:r>
      <w:r>
        <w:t xml:space="preserve"> https://peplab.com.au/research/compounds/p21</w:t>
      </w:r>
    </w:p>
    <w:p>
      <w:pPr>
        <w:pStyle w:val="ListBullet"/>
      </w:pPr>
      <w:r/>
      <w:r>
        <w:rPr>
          <w:b/>
        </w:rPr>
        <w:t>Primary topic:</w:t>
      </w:r>
      <w:r>
        <w:t xml:space="preserve"> P21 research</w:t>
      </w:r>
    </w:p>
    <w:p>
      <w:r>
        <w:br w:type="page"/>
      </w:r>
    </w:p>
    <w:p>
      <w:r>
        <w:t>2 WEBSITE COPY START</w:t>
      </w:r>
    </w:p>
    <w:p>
      <w:r>
        <w:t>NEUROTROPHIC PEPTIDES / PRECLINICAL NEUROSCIENCE</w:t>
      </w:r>
    </w:p>
    <w:p>
      <w:pPr>
        <w:pStyle w:val="Heading1"/>
      </w:pPr>
      <w:r>
        <w:t>P21 Research Overview</w:t>
      </w:r>
    </w:p>
    <w:p>
      <w:pPr>
        <w:pStyle w:val="Heading2"/>
      </w:pPr>
      <w:r>
        <w:t>P021 Identity and Neuroplasticity Research</w:t>
      </w:r>
    </w:p>
    <w:p>
      <w:r>
        <w:t>P21 is a research-market name that needs careful identification. This overview discusses the CNTF-derived compound published as P021, or Peptide 021, where that is the intended material. The specification must confirm that a product labelled P21 actually matches P021 before its findings are applied.</w:t>
      </w:r>
    </w:p>
    <w:p>
      <w:r>
        <w:t xml:space="preserve">For guidance on evaluating evidence, visit PEPLAB’s </w:t>
      </w:r>
      <w:hyperlink r:id="rId9">
        <w:r>
          <w:rPr>
            <w:color w:val="146B73"/>
          </w:rPr>
          <w:t>Research Overview</w:t>
        </w:r>
      </w:hyperlink>
      <w:r>
        <w:t>.</w:t>
      </w:r>
    </w:p>
    <w:p>
      <w:pPr>
        <w:pStyle w:val="Heading2"/>
      </w:pPr>
      <w:r>
        <w:t>What Is P21?</w:t>
      </w:r>
    </w:p>
    <w:p>
      <w:r>
        <w:t>Published P021 is a modified short peptide based on a region of ciliary neurotrophic factor, or CNTF, with an added adamantylated glycine group. It is not full-length CNTF and should not be confused with the cell-cycle protein p21, also called CDKN1A, or with postnatal day 21 in animal studies.</w:t>
      </w:r>
    </w:p>
    <w:tbl>
      <w:tblPr>
        <w:tblStyle w:val="TableGrid"/>
        <w:tblW w:type="auto" w:w="0"/>
        <w:tblLayout w:type="fixed"/>
        <w:tblLook w:firstColumn="1" w:firstRow="1" w:lastColumn="0" w:lastRow="0" w:noHBand="0" w:noVBand="1" w:val="04A0"/>
      </w:tblPr>
      <w:tblGrid>
        <w:gridCol w:w="2880"/>
        <w:gridCol w:w="7344"/>
      </w:tblGrid>
      <w:tr>
        <w:trPr>
          <w:cantSplit/>
          <w:tblHeader/>
        </w:trPr>
        <w:tc>
          <w:tcPr>
            <w:tcW w:type="dxa" w:w="2880"/>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Feature</w:t>
            </w:r>
          </w:p>
        </w:tc>
        <w:tc>
          <w:tcPr>
            <w:tcW w:type="dxa" w:w="7344"/>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Details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Page name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P21</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Literature compound discussed</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P021; Peptide 021</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Compound type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Modified CNTF-derived peptide mimetic</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Identity distinction</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Not the p21/CDKN1A protein</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Research areas</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Neuroplasticity and cognitive behaviour in animal models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Product requirement</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Confirm exact structural match to published P021</w:t>
            </w:r>
          </w:p>
        </w:tc>
      </w:tr>
    </w:tbl>
    <w:p>
      <w:pPr>
        <w:pStyle w:val="Heading2"/>
      </w:pPr>
      <w:r>
        <w:t>How Does P21 Work?</w:t>
      </w:r>
    </w:p>
    <w:p>
      <w:pPr>
        <w:pStyle w:val="Heading3"/>
      </w:pPr>
      <w:r>
        <w:t>Neurotrophic Design</w:t>
      </w:r>
    </w:p>
    <w:p>
      <w:r>
        <w:t>P021 was designed from a biologically active region of CNTF, with chemical modification intended to influence stability and exposure. A design rationale does not establish human brain delivery or clinical benefit.</w:t>
      </w:r>
    </w:p>
    <w:p>
      <w:pPr>
        <w:pStyle w:val="Heading3"/>
      </w:pPr>
      <w:r>
        <w:t>Signalling Research</w:t>
      </w:r>
    </w:p>
    <w:p>
      <w:r>
        <w:t>Animal studies have examined BDNF-associated signalling and markers of neuronal and synaptic plasticity. These are experimental findings rather than proof that the compound repairs a human brain.</w:t>
      </w:r>
    </w:p>
    <w:p>
      <w:pPr>
        <w:pStyle w:val="Heading3"/>
      </w:pPr>
      <w:r>
        <w:t>Behaviour and Biology</w:t>
      </w:r>
    </w:p>
    <w:p>
      <w:r>
        <w:t>Animal memory tasks, tissue markers and clinical cognition are different outcomes. A change in one model does not predict a guaranteed effect in healthy people or people with dementia.</w:t>
      </w:r>
    </w:p>
    <w:p>
      <w:pPr>
        <w:pStyle w:val="Heading2"/>
      </w:pPr>
      <w:r>
        <w:t>P21 Research Findings</w:t>
      </w:r>
    </w:p>
    <w:p>
      <w:pPr>
        <w:pStyle w:val="Heading3"/>
      </w:pPr>
      <w:r>
        <w:t>Alzheimer-Like Mouse Model</w:t>
      </w:r>
    </w:p>
    <w:p>
      <w:r>
        <w:t>A 2014 study examined prolonged P021 exposure in a transgenic mouse model and reported changes in tau-related pathology, cognition and plasticity markers. Amyloid findings were more limited. These results concern an experimental model rather than human Alzheimer’s disease treatment.</w:t>
      </w:r>
    </w:p>
    <w:p>
      <w:r/>
      <w:hyperlink r:id="rId10">
        <w:r>
          <w:rPr>
            <w:color w:val="146B73"/>
          </w:rPr>
          <w:t>Read the mouse-model study</w:t>
        </w:r>
      </w:hyperlink>
      <w:r>
        <w:t>.</w:t>
      </w:r>
    </w:p>
    <w:p>
      <w:pPr>
        <w:pStyle w:val="Heading3"/>
      </w:pPr>
      <w:r>
        <w:t>Early Intervention Study</w:t>
      </w:r>
    </w:p>
    <w:p>
      <w:r>
        <w:t>A 2017 study investigated P021 before overt pathology in a transgenic mouse model. It reported effects on dendritic and synaptic measurements and cognitive behaviour. An early-intervention animal design cannot establish reversal of established human dementia.</w:t>
      </w:r>
    </w:p>
    <w:p>
      <w:r/>
      <w:hyperlink r:id="rId11">
        <w:r>
          <w:rPr>
            <w:color w:val="146B73"/>
          </w:rPr>
          <w:t>Read the early-intervention study</w:t>
        </w:r>
      </w:hyperlink>
      <w:r>
        <w:t>.</w:t>
      </w:r>
    </w:p>
    <w:p>
      <w:pPr>
        <w:pStyle w:val="Heading3"/>
      </w:pPr>
      <w:r>
        <w:t>Developmental Timing Research</w:t>
      </w:r>
    </w:p>
    <w:p>
      <w:r>
        <w:t>A 2021 study evaluated P021 during early postnatal development in mice and reported behavioural and synaptic findings. It also describes the modified P021 molecule. Developmental exposure in animals is not evidence supporting paediatric administration or use during pregnancy.</w:t>
      </w:r>
    </w:p>
    <w:p>
      <w:r/>
      <w:hyperlink r:id="rId12">
        <w:r>
          <w:rPr>
            <w:color w:val="146B73"/>
          </w:rPr>
          <w:t>Read the developmental study</w:t>
        </w:r>
      </w:hyperlink>
      <w:r>
        <w:t>.</w:t>
      </w:r>
    </w:p>
    <w:p>
      <w:pPr>
        <w:pStyle w:val="Heading2"/>
      </w:pPr>
      <w:r>
        <w:t>Research Findings at a Glance</w:t>
      </w:r>
    </w:p>
    <w:tbl>
      <w:tblPr>
        <w:tblStyle w:val="TableGrid"/>
        <w:tblW w:type="auto" w:w="0"/>
        <w:tblLayout w:type="fixed"/>
        <w:tblLook w:firstColumn="1" w:firstRow="1" w:lastColumn="0" w:lastRow="0" w:noHBand="0" w:noVBand="1" w:val="04A0"/>
      </w:tblPr>
      <w:tblGrid>
        <w:gridCol w:w="1800"/>
        <w:gridCol w:w="4032"/>
        <w:gridCol w:w="4392"/>
      </w:tblGrid>
      <w:tr>
        <w:trPr>
          <w:cantSplit/>
          <w:tblHeader/>
        </w:trPr>
        <w:tc>
          <w:tcPr>
            <w:tcW w:type="dxa" w:w="1800"/>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Research area</w:t>
            </w:r>
          </w:p>
        </w:tc>
        <w:tc>
          <w:tcPr>
            <w:tcW w:type="dxa" w:w="4032"/>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What studies investigate</w:t>
            </w:r>
          </w:p>
        </w:tc>
        <w:tc>
          <w:tcPr>
            <w:tcW w:type="dxa" w:w="4392"/>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Important distinction</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Identity</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CNTF-derived P021 structure</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P21 alone is an ambiguous label</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Animal cognition</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Behavioural tasks and tissue markers</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Not human cognitive enhancement</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Timing of exposure</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Early versus later disease-model intervention</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Prevention and reversal are different questions</w:t>
            </w:r>
          </w:p>
        </w:tc>
      </w:tr>
    </w:tbl>
    <w:p>
      <w:pPr>
        <w:pStyle w:val="Heading2"/>
      </w:pPr>
      <w:r>
        <w:t>Safety and Research Limitations</w:t>
      </w:r>
    </w:p>
    <w:p>
      <w:r>
        <w:t>The cited experiments do not establish human efficacy, long-term safety or safety during pregnancy or childhood. Findings in selected mouse models cannot demonstrate that P021 is free of the effects associated with other neurotrophic interventions. A high-purity sample does not supply missing clinical evidence.</w:t>
      </w:r>
    </w:p>
    <w:p>
      <w:r>
        <w:t>This page summarises scientific evidence and does not provide instructions for personal use.</w:t>
      </w:r>
    </w:p>
    <w:p>
      <w:pPr>
        <w:pStyle w:val="Heading2"/>
      </w:pPr>
      <w:r>
        <w:t>Understanding P21 Testing and COAs</w:t>
      </w:r>
    </w:p>
    <w:p>
      <w:r>
        <w:t>Analytical methods answer different questions. Review the compound name, sample or batch identifier, laboratory, testing date, methods and reported results.</w:t>
      </w:r>
    </w:p>
    <w:p>
      <w:pPr>
        <w:pStyle w:val="ListBullet"/>
      </w:pPr>
      <w:r/>
      <w:r>
        <w:rPr>
          <w:b/>
        </w:rPr>
        <w:t>Purity:</w:t>
      </w:r>
      <w:r>
        <w:t xml:space="preserve"> Chromatography measures the relative proportions of detected components under specified conditions.</w:t>
      </w:r>
    </w:p>
    <w:p>
      <w:pPr>
        <w:pStyle w:val="ListBullet"/>
      </w:pPr>
      <w:r/>
      <w:r>
        <w:rPr>
          <w:b/>
        </w:rPr>
        <w:t>Identity:</w:t>
      </w:r>
      <w:r>
        <w:t xml:space="preserve"> Mass spectrometry and complementary methods assess whether a sample is consistent with the stated molecule.</w:t>
      </w:r>
    </w:p>
    <w:p>
      <w:pPr>
        <w:pStyle w:val="ListBullet"/>
      </w:pPr>
      <w:r/>
      <w:r>
        <w:rPr>
          <w:b/>
        </w:rPr>
        <w:t>Content:</w:t>
      </w:r>
      <w:r>
        <w:t xml:space="preserve"> A validated quantitative assay measures the amount of the specified material.</w:t>
      </w:r>
    </w:p>
    <w:p>
      <w:r>
        <w:t>Confirm the complete sequence, acetylation and amidation where specified, and the exact adamantylated glycine structure. Do not interpret the structural notation as an ordinary unmodified amino-acid sequence. Match the analytical reference to published P021 rather than to unrelated p21 proteins.</w:t>
      </w:r>
    </w:p>
    <w:p>
      <w:r>
        <w:t xml:space="preserve">Purity does not establish sterility, endotoxin status or clinical effectiveness. Explore PEPLAB’s </w:t>
      </w:r>
      <w:hyperlink r:id="rId13">
        <w:r>
          <w:rPr>
            <w:color w:val="146B73"/>
          </w:rPr>
          <w:t>Quality &amp; Testing</w:t>
        </w:r>
      </w:hyperlink>
      <w:r>
        <w:t xml:space="preserve"> information and available </w:t>
      </w:r>
      <w:hyperlink r:id="rId14">
        <w:r>
          <w:rPr>
            <w:color w:val="146B73"/>
          </w:rPr>
          <w:t>COA Results</w:t>
        </w:r>
      </w:hyperlink>
      <w:r>
        <w:t>. Only treat a property as tested when the relevant measurement is reported.</w:t>
      </w:r>
    </w:p>
    <w:p>
      <w:pPr>
        <w:pStyle w:val="Heading2"/>
      </w:pPr>
      <w:r>
        <w:t>Frequently Asked Questions</w:t>
      </w:r>
    </w:p>
    <w:p>
      <w:pPr>
        <w:pStyle w:val="Heading3"/>
      </w:pPr>
      <w:r>
        <w:t>Is P21 always the same as P021?</w:t>
      </w:r>
    </w:p>
    <w:p>
      <w:r>
        <w:t>The label alone cannot establish this. Confirm the full product structure.</w:t>
      </w:r>
    </w:p>
    <w:p>
      <w:pPr>
        <w:pStyle w:val="Heading3"/>
      </w:pPr>
      <w:r>
        <w:t>What is P021 derived from?</w:t>
      </w:r>
    </w:p>
    <w:p>
      <w:r>
        <w:t>A biologically active region of ciliary neurotrophic factor, with chemical modification.</w:t>
      </w:r>
    </w:p>
    <w:p>
      <w:pPr>
        <w:pStyle w:val="Heading3"/>
      </w:pPr>
      <w:r>
        <w:t>Is P021 the p21 cell-cycle protein?</w:t>
      </w:r>
    </w:p>
    <w:p>
      <w:r>
        <w:t>No. p21/CDKN1A is a different biological entity.</w:t>
      </w:r>
    </w:p>
    <w:p>
      <w:pPr>
        <w:pStyle w:val="Heading3"/>
      </w:pPr>
      <w:r>
        <w:t>Have the cited studies tested people?</w:t>
      </w:r>
    </w:p>
    <w:p>
      <w:r>
        <w:t>No. The studies summarised here used animal models.</w:t>
      </w:r>
    </w:p>
    <w:p>
      <w:pPr>
        <w:pStyle w:val="Heading3"/>
      </w:pPr>
      <w:r>
        <w:t>Do these findings establish human Alzheimer’s treatment?</w:t>
      </w:r>
    </w:p>
    <w:p>
      <w:r>
        <w:t>No. Clinical efficacy requires direct human evidence.</w:t>
      </w:r>
    </w:p>
    <w:p>
      <w:pPr>
        <w:pStyle w:val="Heading3"/>
      </w:pPr>
      <w:r>
        <w:t>Why does the chemical modification matter?</w:t>
      </w:r>
    </w:p>
    <w:p>
      <w:r>
        <w:t>It is part of the identity of the studied molecule and may influence its properties.</w:t>
      </w:r>
    </w:p>
    <w:p>
      <w:pPr>
        <w:pStyle w:val="Heading3"/>
      </w:pPr>
      <w:r>
        <w:t>Where can I find P21 research papers?</w:t>
      </w:r>
    </w:p>
    <w:p>
      <w:r>
        <w:t xml:space="preserve">Follow the original-source links above and search the compound name on </w:t>
      </w:r>
      <w:hyperlink r:id="rId15">
        <w:r>
          <w:rPr>
            <w:color w:val="146B73"/>
          </w:rPr>
          <w:t>PubMed</w:t>
        </w:r>
      </w:hyperlink>
      <w:r>
        <w:t>. Check the exact molecule, population and outcome in each publication.</w:t>
      </w:r>
    </w:p>
    <w:p>
      <w:pPr>
        <w:pStyle w:val="Heading2"/>
      </w:pPr>
      <w:r>
        <w:t>Explore PEPLAB Research</w:t>
      </w:r>
    </w:p>
    <w:p>
      <w:r>
        <w:t xml:space="preserve">Visit our </w:t>
      </w:r>
      <w:hyperlink r:id="rId9">
        <w:r>
          <w:rPr>
            <w:color w:val="146B73"/>
          </w:rPr>
          <w:t>Research Overview</w:t>
        </w:r>
      </w:hyperlink>
      <w:r>
        <w:t xml:space="preserve"> for guidance on scientific evidence and laboratory testing. Select Find Your Compound to explore other compound-specific research pages.</w:t>
      </w:r>
    </w:p>
    <w:p>
      <w:r/>
      <w:r>
        <w:rPr>
          <w:b/>
        </w:rPr>
        <w:t>Buttons:</w:t>
      </w:r>
      <w:r>
        <w:t xml:space="preserve"> Research Overview | Find Your Compound</w:t>
      </w:r>
    </w:p>
    <w:p>
      <w:r>
        <w:t>WEBSITE COPY END</w:t>
      </w:r>
    </w:p>
    <w:p>
      <w:r>
        <w:br w:type="page"/>
      </w:r>
    </w:p>
    <w:p>
      <w:pPr>
        <w:pStyle w:val="Heading2"/>
      </w:pPr>
      <w:r>
        <w:t>3 Developer and editorial notes</w:t>
      </w:r>
    </w:p>
    <w:p>
      <w:pPr>
        <w:pStyle w:val="Heading2"/>
      </w:pPr>
      <w:r>
        <w:t>SEO and AI search implementation</w:t>
      </w:r>
    </w:p>
    <w:p>
      <w:pPr>
        <w:pStyle w:val="ListBullet"/>
      </w:pPr>
      <w:r>
        <w:t>Match the Retatrutide research page layout and use one H1. Preserve H2 sections, H3 subsections, tables and visible FAQs.</w:t>
      </w:r>
    </w:p>
    <w:p>
      <w:pPr>
        <w:pStyle w:val="ListBullet"/>
      </w:pPr>
      <w:r>
        <w:t>Set the final canonical URL, include the published page in the sitemap and link it from the research hub.</w:t>
      </w:r>
    </w:p>
    <w:p>
      <w:pPr>
        <w:pStyle w:val="ListBullet"/>
      </w:pPr>
      <w:r>
        <w:t>Keep the full article crawlable as HTML, including FAQs and references. Check indexing eligibility and rendered content in Search Console.</w:t>
      </w:r>
    </w:p>
    <w:p>
      <w:pPr>
        <w:pStyle w:val="ListBullet"/>
      </w:pPr>
      <w:r>
        <w:t>Use accurate Article and BreadcrumbList structured data when supported. Match markup to visible content and actual authorship; do not invent credentials or reviews.</w:t>
      </w:r>
    </w:p>
    <w:p>
      <w:pPr>
        <w:pStyle w:val="ListBullet"/>
      </w:pPr>
      <w:r>
        <w:t>Keep research references next to claims and distinguish biological mechanisms from demonstrated clinical outcomes. Google does not require special AI schema for AI Overviews or AI Mode; search rankings and AI citations are not guaranteed.</w:t>
      </w:r>
    </w:p>
    <w:p>
      <w:pPr>
        <w:pStyle w:val="ListBullet"/>
      </w:pPr>
      <w:r>
        <w:t>Show an actual publication or review date. Only credit a medical reviewer if that review has taken place.</w:t>
      </w:r>
    </w:p>
    <w:p>
      <w:r/>
      <w:hyperlink r:id="rId16">
        <w:r>
          <w:rPr>
            <w:color w:val="146B73"/>
          </w:rPr>
          <w:t>Google guidance on AI features and websites</w:t>
        </w:r>
      </w:hyperlink>
      <w:r/>
    </w:p>
    <w:p>
      <w:pPr>
        <w:pStyle w:val="Heading2"/>
      </w:pPr>
      <w:r>
        <w:t>Links and product details</w:t>
      </w:r>
    </w:p>
    <w:p>
      <w:r>
        <w:t>Confirm the Research Overview destination and reuse the existing Find Your Compound target. Verify the Quality &amp; Testing and COA routes. Enable related compound links only after their pages exist.</w:t>
      </w:r>
    </w:p>
    <w:p>
      <w:r>
        <w:t>Do not add purity percentages, batch numbers, vial quantities, shelf life or storage claims without supporting product documentation. A link to the COA directory does not imply that a matching batch report is available.</w:t>
      </w:r>
    </w:p>
    <w:p>
      <w:pPr>
        <w:pStyle w:val="Heading2"/>
      </w:pPr>
      <w:r>
        <w:t>Evidence distinction</w:t>
      </w:r>
    </w:p>
    <w:p>
      <w:r>
        <w:t>Confirm that the intended P21 product is P021 before assigning its literature or chemical identifiers to the product specification. Keep the article’s conditional identity statement. Do not add human brain-penetration, cognitive-enhancement or dementia-reversal claims.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eplab.com.au/research" TargetMode="External"/><Relationship Id="rId10" Type="http://schemas.openxmlformats.org/officeDocument/2006/relationships/hyperlink" Target="https://pubmed.ncbi.nlm.nih.gov/25046994/" TargetMode="External"/><Relationship Id="rId11" Type="http://schemas.openxmlformats.org/officeDocument/2006/relationships/hyperlink" Target="https://pubmed.ncbi.nlm.nih.gov/28655344/" TargetMode="External"/><Relationship Id="rId12" Type="http://schemas.openxmlformats.org/officeDocument/2006/relationships/hyperlink" Target="https://pubmed.ncbi.nlm.nih.gov/34057082/" TargetMode="External"/><Relationship Id="rId13" Type="http://schemas.openxmlformats.org/officeDocument/2006/relationships/hyperlink" Target="https://peplab.com.au/standards" TargetMode="External"/><Relationship Id="rId14" Type="http://schemas.openxmlformats.org/officeDocument/2006/relationships/hyperlink" Target="https://peplab.com.au/coa" TargetMode="External"/><Relationship Id="rId15" Type="http://schemas.openxmlformats.org/officeDocument/2006/relationships/hyperlink" Target="https://pubmed.ncbi.nlm.nih.gov/" TargetMode="External"/><Relationship Id="rId16" Type="http://schemas.openxmlformats.org/officeDocument/2006/relationships/hyperlink" Target="https://developers.google.com/search/docs/appearance/ai-fea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PEPLAB P21 Developer Handoff</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