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VIP</w:t>
      </w:r>
    </w:p>
    <w:p>
      <w:r>
        <w:t>Website developer handoff</w:t>
      </w:r>
    </w:p>
    <w:p>
      <w:r>
        <w:t>Build this research page using the existing Retatrutide layout. This document contains SEO fields, complete page copy with clickable research references, and implementation notes. Publish only section 2 as the article.</w:t>
      </w:r>
    </w:p>
    <w:p>
      <w:pPr>
        <w:pStyle w:val="Heading2"/>
      </w:pPr>
      <w:r>
        <w:t>1 SEO settings</w:t>
      </w:r>
    </w:p>
    <w:p>
      <w:pPr>
        <w:pStyle w:val="ListBullet"/>
      </w:pPr>
      <w:r/>
      <w:r>
        <w:rPr>
          <w:b/>
        </w:rPr>
        <w:t>Title tag:</w:t>
      </w:r>
      <w:r>
        <w:t xml:space="preserve"> VIP Research Overview | PEPLAB</w:t>
      </w:r>
    </w:p>
    <w:p>
      <w:pPr>
        <w:pStyle w:val="ListBullet"/>
      </w:pPr>
      <w:r/>
      <w:r>
        <w:rPr>
          <w:b/>
        </w:rPr>
        <w:t>Meta description:</w:t>
      </w:r>
      <w:r>
        <w:t xml:space="preserve"> Explore VIP research on vasoactive intestinal peptide, VPAC receptors and aviptadil trials, with clinical findings, evidence limits and testing guidance.</w:t>
      </w:r>
    </w:p>
    <w:p>
      <w:pPr>
        <w:pStyle w:val="ListBullet"/>
      </w:pPr>
      <w:r/>
      <w:r>
        <w:rPr>
          <w:b/>
        </w:rPr>
        <w:t>Suggested URL:</w:t>
      </w:r>
      <w:r>
        <w:t xml:space="preserve"> https://peplab.com.au/research/compounds/vip</w:t>
      </w:r>
    </w:p>
    <w:p>
      <w:pPr>
        <w:pStyle w:val="ListBullet"/>
      </w:pPr>
      <w:r/>
      <w:r>
        <w:rPr>
          <w:b/>
        </w:rPr>
        <w:t>Primary topic:</w:t>
      </w:r>
      <w:r>
        <w:t xml:space="preserve"> VIP research</w:t>
      </w:r>
    </w:p>
    <w:p>
      <w:r>
        <w:br w:type="page"/>
      </w:r>
    </w:p>
    <w:p>
      <w:r>
        <w:t>2 WEBSITE COPY START</w:t>
      </w:r>
    </w:p>
    <w:p>
      <w:r>
        <w:t>NEUROPEPTIDES / VASCULAR AND IMMUNE SIGNALLING</w:t>
      </w:r>
    </w:p>
    <w:p>
      <w:pPr>
        <w:pStyle w:val="Heading1"/>
      </w:pPr>
      <w:r>
        <w:t>VIP Research Overview</w:t>
      </w:r>
    </w:p>
    <w:p>
      <w:pPr>
        <w:pStyle w:val="Heading2"/>
      </w:pPr>
      <w:r>
        <w:t>Vasoactive Intestinal Peptide and Clinical Research</w:t>
      </w:r>
    </w:p>
    <w:p>
      <w:r>
        <w:t>VIP stands for vasoactive intestinal peptide, a naturally occurring signalling peptide. Researchers study its receptor activity and effects in vascular, gastrointestinal, immune and pulmonary systems. Human studies of synthetic VIP, called aviptadil, have produced results that depend on the condition and trial design.</w:t>
      </w:r>
    </w:p>
    <w:p>
      <w:r>
        <w:t xml:space="preserve">For guidance on evaluating evidence, visit PEPLAB’s </w:t>
      </w:r>
      <w:hyperlink r:id="rId9">
        <w:r>
          <w:rPr>
            <w:color w:val="146B73"/>
          </w:rPr>
          <w:t>Research Overview</w:t>
        </w:r>
      </w:hyperlink>
      <w:r>
        <w:t>.</w:t>
      </w:r>
    </w:p>
    <w:p>
      <w:pPr>
        <w:pStyle w:val="Heading2"/>
      </w:pPr>
      <w:r>
        <w:t>What Is VIP?</w:t>
      </w:r>
    </w:p>
    <w:p>
      <w:r>
        <w:t>VIP contains 28 amino-acid residues and interacts with the VPAC1 and VPAC2 receptors. The name reflects its discovery and physiological activity, but its functions extend beyond the intestine. Evidence for a specific aviptadil formulation should not be assumed to validate every material labelled VIP.</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Vasoactive intestinal 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Abbreviation</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VIP</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Synthetic form</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Aviptadil</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28-amino-acid 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Receptors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VPAC1 and VPAC2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Receptor signalling and systemic physiological responses</w:t>
            </w:r>
          </w:p>
        </w:tc>
      </w:tr>
    </w:tbl>
    <w:p>
      <w:pPr>
        <w:pStyle w:val="Heading2"/>
      </w:pPr>
      <w:r>
        <w:t>How Does VIP Work?</w:t>
      </w:r>
    </w:p>
    <w:p>
      <w:pPr>
        <w:pStyle w:val="Heading3"/>
      </w:pPr>
      <w:r>
        <w:t>VPAC Receptor Signalling</w:t>
      </w:r>
    </w:p>
    <w:p>
      <w:r>
        <w:t>VIP activates receptor pathways that can stimulate adenylyl cyclase and intracellular cyclic AMP. Receptor expression helps determine how a particular tissue responds.</w:t>
      </w:r>
    </w:p>
    <w:p>
      <w:pPr>
        <w:pStyle w:val="Heading3"/>
      </w:pPr>
      <w:r>
        <w:t>Effects Across Tissues</w:t>
      </w:r>
    </w:p>
    <w:p>
      <w:r>
        <w:t>Vascular and gastrointestinal responses are relevant both to biological activity and to tolerability. A peptide with several physiological roles should not be described as acting on only one organ.</w:t>
      </w:r>
    </w:p>
    <w:p>
      <w:pPr>
        <w:pStyle w:val="Heading3"/>
      </w:pPr>
      <w:r>
        <w:t>Mechanism and Clinical Outcomes</w:t>
      </w:r>
    </w:p>
    <w:p>
      <w:r>
        <w:t>Pulmonary and immune hypotheses have motivated clinical trials. A plausible protective mechanism does not ensure that a trial will demonstrate improved recovery or survival.</w:t>
      </w:r>
    </w:p>
    <w:p>
      <w:pPr>
        <w:pStyle w:val="Heading2"/>
      </w:pPr>
      <w:r>
        <w:t>VIP Research Findings</w:t>
      </w:r>
    </w:p>
    <w:p>
      <w:pPr>
        <w:pStyle w:val="Heading3"/>
      </w:pPr>
      <w:r>
        <w:t>Receptor Structure and Function</w:t>
      </w:r>
    </w:p>
    <w:p>
      <w:r>
        <w:t>A 2000 study systematically altered VIP residues and tested binding and signalling at human VPAC1 and VPAC2 receptors. It showed that molecular structure affects receptor activity. This was receptor research, not evidence of a clinical benefit from a supplied vial.</w:t>
      </w:r>
    </w:p>
    <w:p>
      <w:r/>
      <w:hyperlink r:id="rId10">
        <w:r>
          <w:rPr>
            <w:color w:val="146B73"/>
          </w:rPr>
          <w:t>Read the receptor study</w:t>
        </w:r>
      </w:hyperlink>
      <w:r>
        <w:t>.</w:t>
      </w:r>
    </w:p>
    <w:p>
      <w:pPr>
        <w:pStyle w:val="Heading3"/>
      </w:pPr>
      <w:r>
        <w:t>Earlier Respiratory Failure Trial</w:t>
      </w:r>
    </w:p>
    <w:p>
      <w:r>
        <w:t>A 2022 randomised trial investigated intravenous aviptadil in critical COVID-19 respiratory failure. The primary endpoint of being alive and free of respiratory failure at 60 days did not reach statistical significance. Other reported analyses should be interpreted alongside that result.</w:t>
      </w:r>
    </w:p>
    <w:p>
      <w:r/>
      <w:hyperlink r:id="rId11">
        <w:r>
          <w:rPr>
            <w:color w:val="146B73"/>
          </w:rPr>
          <w:t>Read the 60-day trial</w:t>
        </w:r>
      </w:hyperlink>
      <w:r>
        <w:t>.</w:t>
      </w:r>
    </w:p>
    <w:p>
      <w:pPr>
        <w:pStyle w:val="Heading3"/>
      </w:pPr>
      <w:r>
        <w:t>TESICO Trial</w:t>
      </w:r>
    </w:p>
    <w:p>
      <w:r>
        <w:t>The 2023 TESICO report included 461 treated participants in the aviptadil comparison. Aviptadil did not improve the primary clinical outcome or survival at 90 days compared with placebo. This is a finding in severe COVID-19, not a test of every possible VIP research application.</w:t>
      </w:r>
    </w:p>
    <w:p>
      <w:r/>
      <w:hyperlink r:id="rId12">
        <w:r>
          <w:rPr>
            <w:color w:val="146B73"/>
          </w:rPr>
          <w:t>Read the TESICO trial</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investigate</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Receptor biology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VPAC1 and VPAC2 activity</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Molecular activity is not clinical efficacy</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Respiratory trials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Recovery and survival</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Key primary outcomes were not improved</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Tolerability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Vascular and gastrointestinal effects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Preparation and study setting matter</w:t>
            </w:r>
          </w:p>
        </w:tc>
      </w:tr>
    </w:tbl>
    <w:p>
      <w:pPr>
        <w:pStyle w:val="Heading2"/>
      </w:pPr>
      <w:r>
        <w:t>Safety and Research Limitations</w:t>
      </w:r>
    </w:p>
    <w:p>
      <w:r>
        <w:t>TESICO reported diarrhoea, facial flushing, tachycardia and hypotension more frequently with aviptadil than placebo. These findings make blanket claims of side-effect-free activity inappropriate. Trial findings relate to the studied preparation, administration route and critically ill population; they do not establish safety for other settings or combinations.</w:t>
      </w:r>
    </w:p>
    <w:p>
      <w:r>
        <w:t>This page summarises scientific evidence and does not provide instructions for personal use.</w:t>
      </w:r>
    </w:p>
    <w:p>
      <w:pPr>
        <w:pStyle w:val="Heading2"/>
      </w:pPr>
      <w:r>
        <w:t>Understanding VIP Testing and COAs</w:t>
      </w:r>
    </w:p>
    <w:p>
      <w:r>
        <w:t>Analytical methods answer different questions. Review the compound name, sample or batch identifier, laboratory, testing date, methods and reported results.</w:t>
      </w:r>
    </w:p>
    <w:p>
      <w:pPr>
        <w:pStyle w:val="ListBullet"/>
      </w:pPr>
      <w:r/>
      <w:r>
        <w:rPr>
          <w:b/>
        </w:rPr>
        <w:t>Purity:</w:t>
      </w:r>
      <w:r>
        <w:t xml:space="preserve"> Chromatography measures the relative proportions of detected components under specified conditions.</w:t>
      </w:r>
    </w:p>
    <w:p>
      <w:pPr>
        <w:pStyle w:val="ListBullet"/>
      </w:pPr>
      <w:r/>
      <w:r>
        <w:rPr>
          <w:b/>
        </w:rPr>
        <w:t>Identity:</w:t>
      </w:r>
      <w:r>
        <w:t xml:space="preserve"> Mass spectrometry and complementary methods assess whether a sample is consistent with the stated molecule.</w:t>
      </w:r>
    </w:p>
    <w:p>
      <w:pPr>
        <w:pStyle w:val="ListBullet"/>
      </w:pPr>
      <w:r/>
      <w:r>
        <w:rPr>
          <w:b/>
        </w:rPr>
        <w:t>Content:</w:t>
      </w:r>
      <w:r>
        <w:t xml:space="preserve"> A validated quantitative assay measures the amount of the specified material.</w:t>
      </w:r>
    </w:p>
    <w:p>
      <w:r>
        <w:t>Confirm the human VIP sequence, terminal amidation and actual peptide content. Distinguish native-sequence VIP from receptor-selective analogues. Chemical identity does not establish equivalence with a clinical aviptadil formulation, and a receptor assay cannot replace impurity or quantitative-content testing.</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Only treat a property as tested when the relevant measurement is reported.</w:t>
      </w:r>
    </w:p>
    <w:p>
      <w:pPr>
        <w:pStyle w:val="Heading2"/>
      </w:pPr>
      <w:r>
        <w:t>Frequently Asked Questions</w:t>
      </w:r>
    </w:p>
    <w:p>
      <w:pPr>
        <w:pStyle w:val="Heading3"/>
      </w:pPr>
      <w:r>
        <w:t>What does VIP stand for?</w:t>
      </w:r>
    </w:p>
    <w:p>
      <w:r>
        <w:t>Vasoactive intestinal peptide.</w:t>
      </w:r>
    </w:p>
    <w:p>
      <w:pPr>
        <w:pStyle w:val="Heading3"/>
      </w:pPr>
      <w:r>
        <w:t>Is VIP a peptide?</w:t>
      </w:r>
    </w:p>
    <w:p>
      <w:r>
        <w:t>Yes. Human VIP contains 28 amino-acid residues.</w:t>
      </w:r>
    </w:p>
    <w:p>
      <w:pPr>
        <w:pStyle w:val="Heading3"/>
      </w:pPr>
      <w:r>
        <w:t>What is aviptadil?</w:t>
      </w:r>
    </w:p>
    <w:p>
      <w:r>
        <w:t>The name used for synthetic VIP in the clinical research discussed here.</w:t>
      </w:r>
    </w:p>
    <w:p>
      <w:pPr>
        <w:pStyle w:val="Heading3"/>
      </w:pPr>
      <w:r>
        <w:t>Which receptors does VIP activate?</w:t>
      </w:r>
    </w:p>
    <w:p>
      <w:r>
        <w:t>VPAC1 and VPAC2 are its principal receptors discussed on this page.</w:t>
      </w:r>
    </w:p>
    <w:p>
      <w:pPr>
        <w:pStyle w:val="Heading3"/>
      </w:pPr>
      <w:r>
        <w:t>Did TESICO establish improved survival?</w:t>
      </w:r>
    </w:p>
    <w:p>
      <w:r>
        <w:t>No. Aviptadil did not improve survival or the primary clinical outcome at 90 days.</w:t>
      </w:r>
    </w:p>
    <w:p>
      <w:pPr>
        <w:pStyle w:val="Heading3"/>
      </w:pPr>
      <w:r>
        <w:t>Can VIP affect blood pressure?</w:t>
      </w:r>
    </w:p>
    <w:p>
      <w:r>
        <w:t>Yes. Hypotension was among the effects reported more often with aviptadil in TESICO.</w:t>
      </w:r>
    </w:p>
    <w:p>
      <w:pPr>
        <w:pStyle w:val="Heading3"/>
      </w:pPr>
      <w:r>
        <w:t>Where can I find VIP research papers?</w:t>
      </w:r>
    </w:p>
    <w:p>
      <w:r>
        <w:t xml:space="preserve">Follow the original-source links above and search the compound name on </w:t>
      </w:r>
      <w:hyperlink r:id="rId15">
        <w:r>
          <w:rPr>
            <w:color w:val="146B73"/>
          </w:rPr>
          <w:t>PubMed</w:t>
        </w:r>
      </w:hyperlink>
      <w:r>
        <w:t>. Check the exact molecule, population and outcome in each publication.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6">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Keep both trials’ primary results visible. Do not convert subgroup or secondary findings into a broad respiratory, immune-restoration or longevity claim. Distinguish synthetic VIP identity from finished clinical formulation equivalence.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10801840/" TargetMode="External"/><Relationship Id="rId11" Type="http://schemas.openxmlformats.org/officeDocument/2006/relationships/hyperlink" Target="https://pubmed.ncbi.nlm.nih.gov/36044317/" TargetMode="External"/><Relationship Id="rId12" Type="http://schemas.openxmlformats.org/officeDocument/2006/relationships/hyperlink" Target="https://pubmed.ncbi.nlm.nih.gov/37348524/"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ubmed.ncbi.nlm.nih.gov/" TargetMode="External"/><Relationship Id="rId16"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VIP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