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BPC-157</w:t>
      </w:r>
    </w:p>
    <w:p>
      <w:r>
        <w:t>Website developer handoff</w:t>
      </w:r>
    </w:p>
    <w:p>
      <w:r>
        <w:t>Build this research page using the existing Retatrutide layout. This document contains SEO fields, complete page copy with clickable study references, and implementation notes. Publish only section 2 as the article.</w:t>
      </w:r>
    </w:p>
    <w:p>
      <w:pPr>
        <w:pStyle w:val="Heading2"/>
      </w:pPr>
      <w:r>
        <w:t>1 SEO settings</w:t>
      </w:r>
    </w:p>
    <w:p>
      <w:pPr>
        <w:pStyle w:val="ListBullet"/>
      </w:pPr>
      <w:r/>
      <w:r>
        <w:rPr>
          <w:b/>
        </w:rPr>
        <w:t>Title tag:</w:t>
      </w:r>
      <w:r>
        <w:t xml:space="preserve"> BPC-157 Research: Tissue Repair &amp; Evidence | PEPLAB</w:t>
      </w:r>
    </w:p>
    <w:p>
      <w:pPr>
        <w:pStyle w:val="ListBullet"/>
      </w:pPr>
      <w:r/>
      <w:r>
        <w:rPr>
          <w:b/>
        </w:rPr>
        <w:t>Meta description:</w:t>
      </w:r>
      <w:r>
        <w:t xml:space="preserve"> Explore BPC-157 research on tendon cells, vascular signalling and tissue injury, with original studies, human-evidence limitations and COA guidance.</w:t>
      </w:r>
    </w:p>
    <w:p>
      <w:pPr>
        <w:pStyle w:val="ListBullet"/>
      </w:pPr>
      <w:r/>
      <w:r>
        <w:rPr>
          <w:b/>
        </w:rPr>
        <w:t>Suggested URL:</w:t>
      </w:r>
      <w:r>
        <w:t xml:space="preserve"> https://peplab.com.au/research/compounds/bpc-157</w:t>
      </w:r>
    </w:p>
    <w:p>
      <w:pPr>
        <w:pStyle w:val="ListBullet"/>
      </w:pPr>
      <w:r/>
      <w:r>
        <w:rPr>
          <w:b/>
        </w:rPr>
        <w:t>Primary topic:</w:t>
      </w:r>
      <w:r>
        <w:t xml:space="preserve"> BPC-157 research</w:t>
      </w:r>
    </w:p>
    <w:p>
      <w:r>
        <w:br w:type="page"/>
      </w:r>
    </w:p>
    <w:p>
      <w:r>
        <w:t>2 WEBSITE COPY START</w:t>
      </w:r>
    </w:p>
    <w:p>
      <w:r>
        <w:t>TISSUE REPAIR / EXPERIMENTAL PEPTIDES</w:t>
      </w:r>
    </w:p>
    <w:p>
      <w:pPr>
        <w:pStyle w:val="Heading1"/>
      </w:pPr>
      <w:r>
        <w:t>BPC-157 Research Overview</w:t>
      </w:r>
    </w:p>
    <w:p>
      <w:pPr>
        <w:pStyle w:val="Heading2"/>
      </w:pPr>
      <w:r>
        <w:t>Tendon, Vascular and Tissue-Response Research</w:t>
      </w:r>
    </w:p>
    <w:p>
      <w:r>
        <w:t>BPC-157 is an experimental 15-amino-acid peptide studied in tissue-injury models and cellular responses associated with repair. Much of the published mechanistic evidence comes from laboratory and animal work. This page reviews selected studies and explains why these findings should not be presented as proof of reliable injury healing in people.</w:t>
      </w:r>
    </w:p>
    <w:p>
      <w:r>
        <w:t xml:space="preserve">For guidance on study design and analytical evidence, visit PEPLAB’s </w:t>
      </w:r>
      <w:hyperlink r:id="rId9">
        <w:r>
          <w:rPr>
            <w:color w:val="146B73"/>
          </w:rPr>
          <w:t>Research Overview</w:t>
        </w:r>
      </w:hyperlink>
      <w:r>
        <w:t>.</w:t>
      </w:r>
    </w:p>
    <w:p>
      <w:pPr>
        <w:pStyle w:val="Heading2"/>
      </w:pPr>
      <w:r>
        <w:t>What Is BPC-157?</w:t>
      </w:r>
    </w:p>
    <w:p>
      <w:r>
        <w:t>BPC-157 is a synthetic pentadecapeptide discussed in literature on a body-protection compound associated with gastric biology. The abbreviation is an identifier, not a demonstrated clinical outcome. Researchers have explored tendon-cell behaviour, blood-vessel signalling and tissue responses using several experimental models.</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BPC-157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Alternative notation</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BPC 157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Synthetic 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Peptide length</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15 amino acids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Tendon biology, vascular signalling and tissue injury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base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Predominantly preclinical; small uncontrolled human reports</w:t>
            </w:r>
          </w:p>
        </w:tc>
      </w:tr>
    </w:tbl>
    <w:p>
      <w:pPr>
        <w:pStyle w:val="Heading2"/>
      </w:pPr>
      <w:r>
        <w:t>How Does BPC-157 Work?</w:t>
      </w:r>
    </w:p>
    <w:p>
      <w:pPr>
        <w:pStyle w:val="Heading3"/>
      </w:pPr>
      <w:r>
        <w:t>Tendon-Cell Behaviour</w:t>
      </w:r>
    </w:p>
    <w:p>
      <w:r>
        <w:t>Researchers have studied how tendon fibroblasts move and respond to stress. These measurements can help generate hypotheses about tissue repair.</w:t>
      </w:r>
    </w:p>
    <w:p>
      <w:pPr>
        <w:pStyle w:val="Heading3"/>
      </w:pPr>
      <w:r>
        <w:t>Vascular Signalling</w:t>
      </w:r>
    </w:p>
    <w:p>
      <w:r>
        <w:t>Experiments have examined VEGFR2-related pathways and blood-vessel responses. Angiogenesis means formation of blood vessels; it is not itself proof of safe or effective treatment.</w:t>
      </w:r>
    </w:p>
    <w:p>
      <w:pPr>
        <w:pStyle w:val="Heading3"/>
      </w:pPr>
      <w:r>
        <w:t>From Mechanism to Outcome</w:t>
      </w:r>
    </w:p>
    <w:p>
      <w:r>
        <w:t>A biological pathway can respond without producing a meaningful clinical benefit. Imaging, function, symptoms and adverse events require separate assessment in controlled human studies.</w:t>
      </w:r>
    </w:p>
    <w:p>
      <w:pPr>
        <w:pStyle w:val="Heading2"/>
      </w:pPr>
      <w:r>
        <w:t>BPC-157 Research Findings</w:t>
      </w:r>
    </w:p>
    <w:p>
      <w:pPr>
        <w:pStyle w:val="Heading3"/>
      </w:pPr>
      <w:r>
        <w:t>Tendon Explants and Fibroblasts</w:t>
      </w:r>
    </w:p>
    <w:p>
      <w:r>
        <w:t>A 2011 study reported BPC-157-related changes in rat tendon explants and fibroblasts, including migration and stress survival. These experimental results did not demonstrate repair of a human tendon tear.</w:t>
      </w:r>
    </w:p>
    <w:p>
      <w:r/>
      <w:hyperlink r:id="rId10">
        <w:r>
          <w:rPr>
            <w:color w:val="146B73"/>
          </w:rPr>
          <w:t>Read the tendon-cell study</w:t>
        </w:r>
      </w:hyperlink>
      <w:r>
        <w:t>.</w:t>
      </w:r>
    </w:p>
    <w:p>
      <w:pPr>
        <w:pStyle w:val="Heading3"/>
      </w:pPr>
      <w:r>
        <w:t>Vascular Injury Models</w:t>
      </w:r>
    </w:p>
    <w:p>
      <w:r>
        <w:t>A 2017 publication investigated BPC-157 in experimental vascular models and reported VEGFR2-related effects. Cell and animal results support further investigation, but they do not establish how a human injury will respond or whether long-term exposure is safe.</w:t>
      </w:r>
    </w:p>
    <w:p>
      <w:r/>
      <w:hyperlink r:id="rId11">
        <w:r>
          <w:rPr>
            <w:color w:val="146B73"/>
          </w:rPr>
          <w:t>Read the vascular-signalling study</w:t>
        </w:r>
      </w:hyperlink>
      <w:r>
        <w:t>.</w:t>
      </w:r>
    </w:p>
    <w:p>
      <w:pPr>
        <w:pStyle w:val="Heading3"/>
      </w:pPr>
      <w:r>
        <w:t>Human Knee-Pain Observations</w:t>
      </w:r>
    </w:p>
    <w:p>
      <w:r>
        <w:t>A 2021 retrospective report described patient-reported outcomes after BPC-157, with some patients receiving a combination with TB4. Its small size, lack of randomisation and absence of a control group limit causal conclusions. Reduced reported pain is not direct evidence of new cartilage or structural tendon repair.</w:t>
      </w:r>
    </w:p>
    <w:p>
      <w:r/>
      <w:hyperlink r:id="rId12">
        <w:r>
          <w:rPr>
            <w:color w:val="146B73"/>
          </w:rPr>
          <w:t>Read the knee-pain report</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have investigated</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Tendon biology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Cell migration and stress responses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Laboratory findings are not human healing outcomes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Vascular research</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VEGFR2-related experimental effects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Mechanism does not establish clinical benefit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Human observations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Retrospective pain reports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 controlled proof of structural repair</w:t>
            </w:r>
          </w:p>
        </w:tc>
      </w:tr>
    </w:tbl>
    <w:p>
      <w:pPr>
        <w:pStyle w:val="Heading2"/>
      </w:pPr>
      <w:r>
        <w:t>Safety and Research Limitations</w:t>
      </w:r>
    </w:p>
    <w:p>
      <w:r>
        <w:t>The available studies do not establish comprehensive long-term human safety or a validated regimen for self-treatment. A high-purity laboratory result does not resolve uncertainties about clinical effectiveness, adverse effects or long-term human safety.</w:t>
      </w:r>
    </w:p>
    <w:p>
      <w:r>
        <w:t>This page summarises scientific evidence and does not provide instructions for personal use.</w:t>
      </w:r>
    </w:p>
    <w:p>
      <w:pPr>
        <w:pStyle w:val="Heading2"/>
      </w:pPr>
      <w:r>
        <w:t>Understanding BPC-157 Testing and COAs</w:t>
      </w:r>
    </w:p>
    <w:p>
      <w:r>
        <w:t>Analytical methods answer different questions. A Certificate of Analysis should identify the submitted sample and report the actual measurements performed.</w:t>
      </w:r>
    </w:p>
    <w:p>
      <w:pPr>
        <w:pStyle w:val="ListBullet"/>
      </w:pPr>
      <w:r/>
      <w:r>
        <w:rPr>
          <w:b/>
        </w:rPr>
        <w:t>Purity:</w:t>
      </w:r>
      <w:r>
        <w:t xml:space="preserve"> Chromatographic testing measures detected components under specified conditions; a percentage alone does not establish vial content.</w:t>
      </w:r>
    </w:p>
    <w:p>
      <w:pPr>
        <w:pStyle w:val="ListBullet"/>
      </w:pPr>
      <w:r/>
      <w:r>
        <w:rPr>
          <w:b/>
        </w:rPr>
        <w:t>Identity:</w:t>
      </w:r>
      <w:r>
        <w:t xml:space="preserve"> Appropriate methods, such as mass spectrometry with complementary analysis where needed, assess consistency with the stated material.</w:t>
      </w:r>
    </w:p>
    <w:p>
      <w:pPr>
        <w:pStyle w:val="ListBullet"/>
      </w:pPr>
      <w:r/>
      <w:r>
        <w:rPr>
          <w:b/>
        </w:rPr>
        <w:t>Content:</w:t>
      </w:r>
      <w:r>
        <w:t xml:space="preserve"> A validated quantitative assay measures the amount of the specified analyte or each blend component.</w:t>
      </w:r>
    </w:p>
    <w:p>
      <w:r>
        <w:t>Check the sample or batch identifier, laboratory, testing date, methods and assay basis. Only describe a property as verified when the report includes a suitable measurement.</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checking whether a report covers the material and batch being assessed.</w:t>
      </w:r>
    </w:p>
    <w:p>
      <w:pPr>
        <w:pStyle w:val="Heading2"/>
      </w:pPr>
      <w:r>
        <w:t>Frequently Asked Questions</w:t>
      </w:r>
    </w:p>
    <w:p>
      <w:pPr>
        <w:pStyle w:val="Heading3"/>
      </w:pPr>
      <w:r>
        <w:t>What is BPC-157 being researched for?</w:t>
      </w:r>
    </w:p>
    <w:p>
      <w:r>
        <w:t>Research includes tendon-cell behaviour, vascular responses and experimental tissue injury. The strength of evidence differs across models and outcomes.</w:t>
      </w:r>
    </w:p>
    <w:p>
      <w:pPr>
        <w:pStyle w:val="Heading3"/>
      </w:pPr>
      <w:r>
        <w:t>Has BPC-157 been studied in humans?</w:t>
      </w:r>
    </w:p>
    <w:p>
      <w:r>
        <w:t>Small human reports exist, including a retrospective knee-pain series. They are not equivalent to large, well-controlled clinical trials.</w:t>
      </w:r>
    </w:p>
    <w:p>
      <w:pPr>
        <w:pStyle w:val="Heading3"/>
      </w:pPr>
      <w:r>
        <w:t>Does BPC-157 regrow cartilage?</w:t>
      </w:r>
    </w:p>
    <w:p>
      <w:r>
        <w:t>The cited studies do not establish cartilage regeneration in humans. Patient-reported pain improvement does not demonstrate structural regrowth.</w:t>
      </w:r>
    </w:p>
    <w:p>
      <w:pPr>
        <w:pStyle w:val="Heading3"/>
      </w:pPr>
      <w:r>
        <w:t>Is BPC-157 a growth hormone peptide?</w:t>
      </w:r>
    </w:p>
    <w:p>
      <w:r>
        <w:t>It is not growth hormone and is not established here as a GHRH or ghrelin-receptor agonist. Its research concerns other experimental pathways.</w:t>
      </w:r>
    </w:p>
    <w:p>
      <w:pPr>
        <w:pStyle w:val="Heading3"/>
      </w:pPr>
      <w:r>
        <w:t>Is BPC-157 the same as TB-500?</w:t>
      </w:r>
    </w:p>
    <w:p>
      <w:r>
        <w:t>No. They are different peptide materials. Their names, identity and evidence should be evaluated separately.</w:t>
      </w:r>
    </w:p>
    <w:p>
      <w:pPr>
        <w:pStyle w:val="Heading3"/>
      </w:pPr>
      <w:r>
        <w:t>Is a blend automatically better than BPC-157 alone?</w:t>
      </w:r>
    </w:p>
    <w:p>
      <w:r>
        <w:t>No. More ingredients do not establish improved effectiveness. A combination needs evidence for its exact composition and use.</w:t>
      </w:r>
    </w:p>
    <w:p>
      <w:pPr>
        <w:pStyle w:val="Heading3"/>
      </w:pPr>
      <w:r>
        <w:t>Where can I find BPC-157 research papers?</w:t>
      </w:r>
    </w:p>
    <w:p>
      <w:r>
        <w:t>Start with the original-study links above. Check the molecule, formulation, study population and measured outcomes before applying a finding to another preparation.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t xml:space="preserve">Related research: </w:t>
      </w:r>
      <w:hyperlink r:id="rId15">
        <w:r>
          <w:rPr>
            <w:color w:val="146B73"/>
          </w:rPr>
          <w:t>BPC-157 + TB-500 Blend</w:t>
        </w:r>
      </w:hyperlink>
      <w:r>
        <w:t xml:space="preserve"> · </w:t>
      </w:r>
      <w:hyperlink r:id="rId16">
        <w:r>
          <w:rPr>
            <w:color w:val="146B73"/>
          </w:rPr>
          <w:t>GLOW Blend</w:t>
        </w:r>
      </w:hyperlink>
      <w:r>
        <w:t xml:space="preserve"> · </w:t>
      </w:r>
      <w:hyperlink r:id="rId17">
        <w:r>
          <w:rPr>
            <w:color w:val="146B73"/>
          </w:rPr>
          <w:t>KLOW Blend</w:t>
        </w:r>
      </w:hyperlink>
      <w:r>
        <w:t>.</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8">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Retain the distinction between laboratory and animal studies, uncontrolled human observations and controlled clinical evidence. Do not turn reports of reduced pain into claims of cartilage regeneration or proven tendon healing.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21030672/" TargetMode="External"/><Relationship Id="rId11" Type="http://schemas.openxmlformats.org/officeDocument/2006/relationships/hyperlink" Target="https://pubmed.ncbi.nlm.nih.gov/27847966/" TargetMode="External"/><Relationship Id="rId12" Type="http://schemas.openxmlformats.org/officeDocument/2006/relationships/hyperlink" Target="https://pubmed.ncbi.nlm.nih.gov/34324435/"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eplab.com.au/research/compounds/bpc-157-tb-500" TargetMode="External"/><Relationship Id="rId16" Type="http://schemas.openxmlformats.org/officeDocument/2006/relationships/hyperlink" Target="https://peplab.com.au/research/compounds/glow" TargetMode="External"/><Relationship Id="rId17" Type="http://schemas.openxmlformats.org/officeDocument/2006/relationships/hyperlink" Target="https://peplab.com.au/research/compounds/klow" TargetMode="External"/><Relationship Id="rId18"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BPC-157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