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Ipamorelin</w:t>
      </w:r>
    </w:p>
    <w:p>
      <w:r>
        <w:t>Website developer handoff</w:t>
      </w:r>
    </w:p>
    <w:p>
      <w:r>
        <w:t>Build this research page using the existing Retatrutide layout. This document contains SEO fields, complete page copy with clickable study references, and implementation notes. Publish only section 2 as the article.</w:t>
      </w:r>
    </w:p>
    <w:p>
      <w:pPr>
        <w:pStyle w:val="Heading2"/>
      </w:pPr>
      <w:r>
        <w:t>1 SEO settings</w:t>
      </w:r>
    </w:p>
    <w:p>
      <w:pPr>
        <w:pStyle w:val="ListBullet"/>
      </w:pPr>
      <w:r/>
      <w:r>
        <w:rPr>
          <w:b/>
        </w:rPr>
        <w:t>Title tag:</w:t>
      </w:r>
      <w:r>
        <w:t xml:space="preserve"> Ipamorelin Research: GH Signalling &amp; Human Studies | PEPLAB</w:t>
      </w:r>
    </w:p>
    <w:p>
      <w:pPr>
        <w:pStyle w:val="ListBullet"/>
      </w:pPr>
      <w:r/>
      <w:r>
        <w:rPr>
          <w:b/>
        </w:rPr>
        <w:t>Meta description:</w:t>
      </w:r>
      <w:r>
        <w:t xml:space="preserve"> Explore ipamorelin research on ghrelin-receptor activity, growth hormone release and gastrointestinal studies, with evidence limits and COA guidance.</w:t>
      </w:r>
    </w:p>
    <w:p>
      <w:pPr>
        <w:pStyle w:val="ListBullet"/>
      </w:pPr>
      <w:r/>
      <w:r>
        <w:rPr>
          <w:b/>
        </w:rPr>
        <w:t>Suggested URL:</w:t>
      </w:r>
      <w:r>
        <w:t xml:space="preserve"> https://peplab.com.au/research/compounds/ipamorelin</w:t>
      </w:r>
    </w:p>
    <w:p>
      <w:pPr>
        <w:pStyle w:val="ListBullet"/>
      </w:pPr>
      <w:r/>
      <w:r>
        <w:rPr>
          <w:b/>
        </w:rPr>
        <w:t>Primary topic:</w:t>
      </w:r>
      <w:r>
        <w:t xml:space="preserve"> Ipamorelin research</w:t>
      </w:r>
    </w:p>
    <w:p>
      <w:r>
        <w:br w:type="page"/>
      </w:r>
    </w:p>
    <w:p>
      <w:r>
        <w:t>2 WEBSITE COPY START</w:t>
      </w:r>
    </w:p>
    <w:p>
      <w:r>
        <w:t>GROWTH HORMONE / SECRETAGOGUES</w:t>
      </w:r>
    </w:p>
    <w:p>
      <w:pPr>
        <w:pStyle w:val="Heading1"/>
      </w:pPr>
      <w:r>
        <w:t>Ipamorelin Research Overview</w:t>
      </w:r>
    </w:p>
    <w:p>
      <w:pPr>
        <w:pStyle w:val="Heading2"/>
      </w:pPr>
      <w:r>
        <w:t>Ghrelin-Receptor Activity and Growth Hormone Research</w:t>
      </w:r>
    </w:p>
    <w:p>
      <w:r>
        <w:t>Ipamorelin is a synthetic pentapeptide investigated as a growth hormone secretagogue and ghrelin-receptor agonist. Research includes laboratory pharmacology, human hormonal-response studies and a trial in postoperative gastrointestinal recovery. This page distinguishes those findings from unsupported claims about routine muscle growth, sleep improvement or anti-ageing effects.</w:t>
      </w:r>
    </w:p>
    <w:p>
      <w:r>
        <w:t xml:space="preserve">For guidance on study design and analytical evidence, visit PEPLAB’s </w:t>
      </w:r>
      <w:hyperlink r:id="rId9">
        <w:r>
          <w:rPr>
            <w:color w:val="146B73"/>
          </w:rPr>
          <w:t>Research Overview</w:t>
        </w:r>
      </w:hyperlink>
      <w:r>
        <w:t>.</w:t>
      </w:r>
    </w:p>
    <w:p>
      <w:pPr>
        <w:pStyle w:val="Heading2"/>
      </w:pPr>
      <w:r>
        <w:t>What Is Ipamorelin?</w:t>
      </w:r>
    </w:p>
    <w:p>
      <w:r>
        <w:t>A secretagogue is a substance that stimulates the release of another substance. Ipamorelin stimulates growth hormone release through the growth hormone secretagogue receptor system. It is neither growth hormone itself nor the same molecule as a GHRH analogue such as tesamorelin.</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Ipamorelin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Synthetic 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Peptide length</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Five amino acids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Primary target</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Growth hormone secretagogue / ghrelin receptor</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GH release, pharmacokinetics and gastrointestinal motility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base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Preclinical pharmacology and limited human trials</w:t>
            </w:r>
          </w:p>
        </w:tc>
      </w:tr>
    </w:tbl>
    <w:p>
      <w:pPr>
        <w:pStyle w:val="Heading2"/>
      </w:pPr>
      <w:r>
        <w:t>How Does Ipamorelin Work?</w:t>
      </w:r>
    </w:p>
    <w:p>
      <w:pPr>
        <w:pStyle w:val="Heading3"/>
      </w:pPr>
      <w:r>
        <w:t>Receptor Activation</w:t>
      </w:r>
    </w:p>
    <w:p>
      <w:r>
        <w:t>Ipamorelin acts through the ghrelin-receptor system, a pathway investigated for both endocrine and gastrointestinal effects.</w:t>
      </w:r>
    </w:p>
    <w:p>
      <w:pPr>
        <w:pStyle w:val="Heading3"/>
      </w:pPr>
      <w:r>
        <w:t>Growth Hormone Release</w:t>
      </w:r>
    </w:p>
    <w:p>
      <w:r>
        <w:t>Human pharmacology studies have measured GH changes after administration. A transient hormonal response is not the same as demonstrated long-term improvement in muscle, sleep or recovery.</w:t>
      </w:r>
    </w:p>
    <w:p>
      <w:pPr>
        <w:pStyle w:val="Heading3"/>
      </w:pPr>
      <w:r>
        <w:t>Selectivity in Context</w:t>
      </w:r>
    </w:p>
    <w:p>
      <w:r>
        <w:t>Early experiments described relatively selective GH-releasing activity in the models tested. Selectivity does not mean absence of side effects or a complete human safety profile.</w:t>
      </w:r>
    </w:p>
    <w:p>
      <w:pPr>
        <w:pStyle w:val="Heading2"/>
      </w:pPr>
      <w:r>
        <w:t>Ipamorelin Research Findings</w:t>
      </w:r>
    </w:p>
    <w:p>
      <w:pPr>
        <w:pStyle w:val="Heading3"/>
      </w:pPr>
      <w:r>
        <w:t>Early Pharmacology</w:t>
      </w:r>
    </w:p>
    <w:p>
      <w:r>
        <w:t>A 1998 paper described ipamorelin’s activity in cell and animal experiments. The researchers compared hormonal responses with other secretagogues. Its selectivity findings should be interpreted within those models rather than expanded into a universal claim of no cortisol effects.</w:t>
      </w:r>
    </w:p>
    <w:p>
      <w:r/>
      <w:hyperlink r:id="rId10">
        <w:r>
          <w:rPr>
            <w:color w:val="146B73"/>
          </w:rPr>
          <w:t>Read the original pharmacology paper</w:t>
        </w:r>
      </w:hyperlink>
      <w:r>
        <w:t>.</w:t>
      </w:r>
    </w:p>
    <w:p>
      <w:pPr>
        <w:pStyle w:val="Heading3"/>
      </w:pPr>
      <w:r>
        <w:t>Human Hormonal Responses</w:t>
      </w:r>
    </w:p>
    <w:p>
      <w:r>
        <w:t>A 1999 study examined 40 healthy male volunteers across five intravenous exposure groups. Researchers measured the time course of ipamorelin and GH. This was a pharmacokinetic and pharmacodynamic investigation, not a trial of bodybuilding, insomnia treatment or a combined CJC-1295 product.</w:t>
      </w:r>
    </w:p>
    <w:p>
      <w:r/>
      <w:hyperlink r:id="rId11">
        <w:r>
          <w:rPr>
            <w:color w:val="146B73"/>
          </w:rPr>
          <w:t>Read the human volunteer study</w:t>
        </w:r>
      </w:hyperlink>
      <w:r>
        <w:t>.</w:t>
      </w:r>
    </w:p>
    <w:p>
      <w:pPr>
        <w:pStyle w:val="Heading3"/>
      </w:pPr>
      <w:r>
        <w:t>Postoperative Gastrointestinal Research</w:t>
      </w:r>
    </w:p>
    <w:p>
      <w:r>
        <w:t>A randomised Phase 2 trial published in 2014 studied ipamorelin following bowel surgery. The analysis included 114 patients. The key outcome concerning tolerance of a solid meal did not differ significantly from placebo, and the publication reported no significant key or secondary efficacy differences.</w:t>
      </w:r>
    </w:p>
    <w:p>
      <w:r/>
      <w:hyperlink r:id="rId12">
        <w:r>
          <w:rPr>
            <w:color w:val="146B73"/>
          </w:rPr>
          <w:t>Read the postoperative trial</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have investigated</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Endocrine pharmacology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GH responses in experimental systems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Selectivity is model-specific</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pharmacokinetics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Time course after IV administration</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Other routes and combinations need separate evidence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Gastrointestinal recovery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Controlled postoperative trial</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The trial did not demonstrate the key efficacy benefit</w:t>
            </w:r>
          </w:p>
        </w:tc>
      </w:tr>
    </w:tbl>
    <w:p>
      <w:pPr>
        <w:pStyle w:val="Heading2"/>
      </w:pPr>
      <w:r>
        <w:t>Safety and Research Limitations</w:t>
      </w:r>
    </w:p>
    <w:p>
      <w:r>
        <w:t>Limited human trials do not establish long-term safety for general wellness use or every administration route. Endocrine selectivity in an experimental model does not establish freedom from adverse effects. The presence of human studies should not be represented as broad clinical validation.</w:t>
      </w:r>
    </w:p>
    <w:p>
      <w:r>
        <w:t>This page summarises scientific evidence and does not provide instructions for personal use.</w:t>
      </w:r>
    </w:p>
    <w:p>
      <w:pPr>
        <w:pStyle w:val="Heading2"/>
      </w:pPr>
      <w:r>
        <w:t>Understanding Ipamorelin Testing and COAs</w:t>
      </w:r>
    </w:p>
    <w:p>
      <w:r>
        <w:t>Analytical methods answer different questions. A Certificate of Analysis should identify the submitted sample and report the actual measurements performed.</w:t>
      </w:r>
    </w:p>
    <w:p>
      <w:pPr>
        <w:pStyle w:val="ListBullet"/>
      </w:pPr>
      <w:r/>
      <w:r>
        <w:rPr>
          <w:b/>
        </w:rPr>
        <w:t>Purity:</w:t>
      </w:r>
      <w:r>
        <w:t xml:space="preserve"> Chromatographic testing measures detected components under specified conditions; a percentage alone does not establish vial content.</w:t>
      </w:r>
    </w:p>
    <w:p>
      <w:pPr>
        <w:pStyle w:val="ListBullet"/>
      </w:pPr>
      <w:r/>
      <w:r>
        <w:rPr>
          <w:b/>
        </w:rPr>
        <w:t>Identity:</w:t>
      </w:r>
      <w:r>
        <w:t xml:space="preserve"> Appropriate methods, such as mass spectrometry with complementary analysis where needed, assess consistency with the stated material.</w:t>
      </w:r>
    </w:p>
    <w:p>
      <w:pPr>
        <w:pStyle w:val="ListBullet"/>
      </w:pPr>
      <w:r/>
      <w:r>
        <w:rPr>
          <w:b/>
        </w:rPr>
        <w:t>Content:</w:t>
      </w:r>
      <w:r>
        <w:t xml:space="preserve"> A validated quantitative assay measures the amount of the specified compound.</w:t>
      </w:r>
    </w:p>
    <w:p>
      <w:r>
        <w:t>Ipamorelin contains non-standard amino-acid features, so the laboratory method must be appropriate to its stated identity. Confirm chemical form, peptide content and relevant impurities rather than relying on a generic peptide-purity claim.</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checking whether a report covers the material and batch being assessed.</w:t>
      </w:r>
    </w:p>
    <w:p>
      <w:pPr>
        <w:pStyle w:val="Heading2"/>
      </w:pPr>
      <w:r>
        <w:t>Frequently Asked Questions</w:t>
      </w:r>
    </w:p>
    <w:p>
      <w:pPr>
        <w:pStyle w:val="Heading3"/>
      </w:pPr>
      <w:r>
        <w:t>Is ipamorelin HGH?</w:t>
      </w:r>
    </w:p>
    <w:p>
      <w:r>
        <w:t>No. Ipamorelin stimulates growth hormone release; HGH is growth hormone itself.</w:t>
      </w:r>
    </w:p>
    <w:p>
      <w:pPr>
        <w:pStyle w:val="Heading3"/>
      </w:pPr>
      <w:r>
        <w:t>How is ipamorelin different from tesamorelin?</w:t>
      </w:r>
    </w:p>
    <w:p>
      <w:r>
        <w:t>They act through different receptor systems. Ipamorelin is a ghrelin-receptor agonist, while tesamorelin is a GHRH analogue.</w:t>
      </w:r>
    </w:p>
    <w:p>
      <w:pPr>
        <w:pStyle w:val="Heading3"/>
      </w:pPr>
      <w:r>
        <w:t>Has ipamorelin been studied in humans?</w:t>
      </w:r>
    </w:p>
    <w:p>
      <w:r>
        <w:t>Yes. Studies include intravenous pharmacology in volunteers and a postoperative gastrointestinal trial. Their specific settings limit generalisation.</w:t>
      </w:r>
    </w:p>
    <w:p>
      <w:pPr>
        <w:pStyle w:val="Heading3"/>
      </w:pPr>
      <w:r>
        <w:t>Does ipamorelin improve sleep?</w:t>
      </w:r>
    </w:p>
    <w:p>
      <w:r>
        <w:t>The studies discussed here do not establish it as a treatment for insomnia or a reliable sleep enhancer.</w:t>
      </w:r>
    </w:p>
    <w:p>
      <w:pPr>
        <w:pStyle w:val="Heading3"/>
      </w:pPr>
      <w:r>
        <w:t>Does selective mean side-effect-free?</w:t>
      </w:r>
    </w:p>
    <w:p>
      <w:r>
        <w:t>No. Selective activity in an experiment does not establish freedom from adverse effects in people.</w:t>
      </w:r>
    </w:p>
    <w:p>
      <w:pPr>
        <w:pStyle w:val="Heading3"/>
      </w:pPr>
      <w:r>
        <w:t>Does ipamorelin research validate a CJC blend?</w:t>
      </w:r>
    </w:p>
    <w:p>
      <w:r>
        <w:t>No. An individual-component study cannot establish the safety or effectiveness of the combined formulation.</w:t>
      </w:r>
    </w:p>
    <w:p>
      <w:pPr>
        <w:pStyle w:val="Heading3"/>
      </w:pPr>
      <w:r>
        <w:t>Where can I find Ipamorelin research papers?</w:t>
      </w:r>
    </w:p>
    <w:p>
      <w:r>
        <w:t>Start with the original-study links above. Check the molecule, formulation, study population and measured outcomes before applying a finding to another preparation.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t xml:space="preserve">Related research: </w:t>
      </w:r>
      <w:hyperlink r:id="rId15">
        <w:r>
          <w:rPr>
            <w:color w:val="146B73"/>
          </w:rPr>
          <w:t>CJC-1295 No DAC + Ipamorelin Blend</w:t>
        </w:r>
      </w:hyperlink>
      <w:r>
        <w:t xml:space="preserve"> · </w:t>
      </w:r>
      <w:hyperlink r:id="rId16">
        <w:r>
          <w:rPr>
            <w:color w:val="146B73"/>
          </w:rPr>
          <w:t>Tesamorelin</w:t>
        </w:r>
      </w:hyperlink>
      <w:r>
        <w:t>.</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7">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Retain the negative key efficacy result in the postoperative trial. Hormonal responses do not establish improved sleep, muscle gain or safety of a CJC blend.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9849822/" TargetMode="External"/><Relationship Id="rId11" Type="http://schemas.openxmlformats.org/officeDocument/2006/relationships/hyperlink" Target="https://pubmed.ncbi.nlm.nih.gov/10496658/" TargetMode="External"/><Relationship Id="rId12" Type="http://schemas.openxmlformats.org/officeDocument/2006/relationships/hyperlink" Target="https://pubmed.ncbi.nlm.nih.gov/25331030/"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eplab.com.au/research/compounds/cjc-1295-no-dac-ipamorelin" TargetMode="External"/><Relationship Id="rId16" Type="http://schemas.openxmlformats.org/officeDocument/2006/relationships/hyperlink" Target="https://peplab.com.au/research/compounds/tesamorelin" TargetMode="External"/><Relationship Id="rId17"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Ipamorelin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