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PEPLAB KLOW Blend</w:t>
      </w:r>
    </w:p>
    <w:p>
      <w:pPr>
        <w:pStyle w:val="Subtitle"/>
      </w:pPr>
      <w:r>
        <w:t>Website developer handoff</w:t>
      </w:r>
    </w:p>
    <w:p>
      <w:r>
        <w:t>GHK-Cu 50 mg + BPC-157 10 mg + TB-500 10 mg + KPV 10 mg</w:t>
        <w:br/>
        <w:t>Total stated content 80 mg</w:t>
      </w:r>
    </w:p>
    <w:p>
      <w:r>
        <w:t>Build this research page using the existing Retatrutide page layout. The document contains SEO fields, complete website copy with clickable references, and implementation notes.</w:t>
      </w:r>
    </w:p>
    <w:p>
      <w:pPr>
        <w:pStyle w:val="Heading1"/>
      </w:pPr>
      <w:r>
        <w:t>1 SEO settings</w:t>
      </w:r>
    </w:p>
    <w:p>
      <w:pPr>
        <w:pStyle w:val="ListBullet"/>
      </w:pPr>
      <w:r/>
      <w:r>
        <w:rPr>
          <w:b/>
        </w:rPr>
        <w:t>Title tag:</w:t>
      </w:r>
      <w:r>
        <w:t xml:space="preserve"> KLOW Blend Research: Formula &amp; Component Evidence | PEPLAB</w:t>
      </w:r>
    </w:p>
    <w:p>
      <w:pPr>
        <w:pStyle w:val="ListBullet"/>
      </w:pPr>
      <w:r/>
      <w:r>
        <w:rPr>
          <w:b/>
        </w:rPr>
        <w:t>Meta description:</w:t>
      </w:r>
      <w:r>
        <w:t xml:space="preserve"> Explore the KLOW 80 mg blend: GHK-Cu, BPC-157, TB-500 and KPV. Review the formula, component research, evidence limitations and blend-testing guidance.</w:t>
      </w:r>
    </w:p>
    <w:p>
      <w:pPr>
        <w:pStyle w:val="ListBullet"/>
      </w:pPr>
      <w:r/>
      <w:r>
        <w:rPr>
          <w:b/>
        </w:rPr>
        <w:t>Suggested URL:</w:t>
      </w:r>
      <w:r>
        <w:t xml:space="preserve"> https://peplab.com.au/research/compounds/klow</w:t>
      </w:r>
    </w:p>
    <w:p>
      <w:pPr>
        <w:pStyle w:val="ListBullet"/>
      </w:pPr>
      <w:r/>
      <w:r>
        <w:rPr>
          <w:b/>
        </w:rPr>
        <w:t>Primary topic:</w:t>
      </w:r>
      <w:r>
        <w:t xml:space="preserve"> KLOW Blend research</w:t>
      </w:r>
    </w:p>
    <w:p>
      <w:pPr>
        <w:pStyle w:val="Heading2"/>
      </w:pPr>
      <w:r>
        <w:t>Layout and publishing</w:t>
      </w:r>
    </w:p>
    <w:p>
      <w:pPr>
        <w:pStyle w:val="ListBullet"/>
      </w:pPr>
      <w:r>
        <w:t>Use the existing Retatrutide research page typography, spacing, tables and FAQ layout.</w:t>
      </w:r>
    </w:p>
    <w:p>
      <w:pPr>
        <w:pStyle w:val="ListBullet"/>
      </w:pPr>
      <w:r>
        <w:t>Publish section 2 as the page body. Sections 1 and 3 are developer instructions.</w:t>
      </w:r>
    </w:p>
    <w:p>
      <w:pPr>
        <w:pStyle w:val="ListBullet"/>
      </w:pPr>
      <w:r>
        <w:t>Use one H1: KLOW Blend Research Overview. Preserve the H2 section headings and H3 subsections.</w:t>
      </w:r>
    </w:p>
    <w:p>
      <w:pPr>
        <w:pStyle w:val="ListBullet"/>
      </w:pPr>
      <w:r>
        <w:t>Keep the stated formula consistent across the page, metadata and any linked product information. The amounts are supplied composition details, not independently verified assay results.</w:t>
      </w:r>
    </w:p>
    <w:p>
      <w:pPr>
        <w:pStyle w:val="ListBullet"/>
      </w:pPr>
      <w:r>
        <w:t>Preserve the research links. Confirm internal destinations and reuse the existing Find Your Compound button target.</w:t>
      </w:r>
    </w:p>
    <w:p>
      <w:r>
        <w:br w:type="page"/>
      </w:r>
    </w:p>
    <w:p>
      <w:pPr>
        <w:pStyle w:val="Subtitle"/>
      </w:pPr>
      <w:r>
        <w:t>2 WEBSITE COPY START</w:t>
      </w:r>
    </w:p>
    <w:p>
      <w:r>
        <w:t>PEPTIDE BLENDS / SKIN &amp; TISSUE RESEARCH</w:t>
      </w:r>
    </w:p>
    <w:p>
      <w:pPr>
        <w:pStyle w:val="Heading1"/>
      </w:pPr>
      <w:r>
        <w:t>KLOW Blend Research Overview</w:t>
      </w:r>
    </w:p>
    <w:p>
      <w:pPr>
        <w:pStyle w:val="Heading2"/>
      </w:pPr>
      <w:r>
        <w:t>Four-Component Formula and Research Evidence</w:t>
      </w:r>
    </w:p>
    <w:p>
      <w:r>
        <w:t>KLOW is PEPLAB’s 80 mg blend of GHK-Cu 50 mg, BPC-157 10 mg, TB-500 10 mg and KPV 10 mg. Its ingredients are associated with research into connective tissue, cellular responses to injury and inflammatory signalling. This page explains the formula and component literature without treating separate studies as proof of the combined preparation.</w:t>
      </w:r>
    </w:p>
    <w:p>
      <w:r>
        <w:t xml:space="preserve">For guidance on study design and analytical evidence, visit PEPLAB’s </w:t>
      </w:r>
      <w:hyperlink r:id="rId9">
        <w:r>
          <w:rPr>
            <w:color w:val="146B73"/>
          </w:rPr>
          <w:t>Research Overview</w:t>
        </w:r>
      </w:hyperlink>
      <w:r>
        <w:t>.</w:t>
      </w:r>
    </w:p>
    <w:p>
      <w:pPr>
        <w:pStyle w:val="Heading2"/>
      </w:pPr>
      <w:r>
        <w:t>What Is KLOW Blend?</w:t>
      </w:r>
    </w:p>
    <w:p>
      <w:r>
        <w:t>KLOW is a blend name, not the scientific name of a single molecule. Its total stated content is the sum of four components. Adding KPV distinguishes this formula from PEPLAB’s 70 mg GLOW blend, but the additional ingredient does not by itself establish a stronger or broader clinical effect.</w:t>
      </w:r>
    </w:p>
    <w:tbl>
      <w:tblPr>
        <w:tblStyle w:val="TableGrid"/>
        <w:tblW w:type="auto" w:w="0"/>
        <w:tblLayout w:type="fixed"/>
        <w:tblLook w:firstColumn="1" w:firstRow="1" w:lastColumn="0" w:lastRow="0" w:noHBand="0" w:noVBand="1" w:val="04A0"/>
      </w:tblPr>
      <w:tblGrid>
        <w:gridCol w:w="2880"/>
        <w:gridCol w:w="7344"/>
      </w:tblGrid>
      <w:tr>
        <w:trPr>
          <w:cantSplit/>
          <w:tblHeader/>
        </w:trPr>
        <w:tc>
          <w:tcPr>
            <w:tcW w:type="dxa" w:w="288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Feature</w:t>
            </w:r>
          </w:p>
        </w:tc>
        <w:tc>
          <w:tcPr>
            <w:tcW w:type="dxa" w:w="7344"/>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Details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Blend name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KLOW</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GHK-Cu</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50 mg</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BPC-157</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10 mg</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TB-500</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10 mg; molecular identity must be documented</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KPV</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10 mg</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Total stated content</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80 mg</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Evidence base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Component literature; no controlled trial of this exact formula identified in the reviewed sources</w:t>
            </w:r>
          </w:p>
        </w:tc>
      </w:tr>
    </w:tbl>
    <w:p>
      <w:pPr>
        <w:pStyle w:val="Heading2"/>
      </w:pPr>
      <w:r>
        <w:t>How Does KLOW Blend Work?</w:t>
      </w:r>
    </w:p>
    <w:p>
      <w:pPr>
        <w:pStyle w:val="Heading3"/>
      </w:pPr>
      <w:r>
        <w:t>Copper-Peptide Research</w:t>
      </w:r>
    </w:p>
    <w:p>
      <w:r>
        <w:t>GHK-Cu is studied in extracellular matrix biology. Its copper-bound identity and concentration matter when interpreting laboratory findings.</w:t>
      </w:r>
    </w:p>
    <w:p>
      <w:pPr>
        <w:pStyle w:val="Heading3"/>
      </w:pPr>
      <w:r>
        <w:t>Tissue-Response Research</w:t>
      </w:r>
    </w:p>
    <w:p>
      <w:r>
        <w:t>BPC-157 and thymosin-related materials are discussed in tissue-repair research. TB-500 identity must be established before assigning findings from full-length thymosin beta-4.</w:t>
      </w:r>
    </w:p>
    <w:p>
      <w:pPr>
        <w:pStyle w:val="Heading3"/>
      </w:pPr>
      <w:r>
        <w:t>KPV and Inflammatory Signalling</w:t>
      </w:r>
    </w:p>
    <w:p>
      <w:r>
        <w:t>KPV is a short peptide investigated in inflammatory models. Its inclusion adds a separate research pathway, not proven protection against adverse effects from other ingredients.</w:t>
      </w:r>
    </w:p>
    <w:p>
      <w:pPr>
        <w:pStyle w:val="Heading2"/>
      </w:pPr>
      <w:r>
        <w:t>KLOW Blend Research Findings</w:t>
      </w:r>
    </w:p>
    <w:p>
      <w:pPr>
        <w:pStyle w:val="Heading3"/>
      </w:pPr>
      <w:r>
        <w:t>GHK-Cu Component Evidence</w:t>
      </w:r>
    </w:p>
    <w:p>
      <w:r>
        <w:t>A rat wound study investigated extracellular matrix accumulation after GHK-Cu exposure. It offers preclinical context for a component of KLOW, not evidence that the four-component blend repairs human tissues.</w:t>
      </w:r>
    </w:p>
    <w:p>
      <w:r/>
      <w:hyperlink r:id="rId10">
        <w:r>
          <w:rPr>
            <w:color w:val="146B73"/>
          </w:rPr>
          <w:t>Read the GHK-Cu animal study</w:t>
        </w:r>
      </w:hyperlink>
      <w:r>
        <w:t>.</w:t>
      </w:r>
    </w:p>
    <w:p>
      <w:pPr>
        <w:pStyle w:val="Heading3"/>
      </w:pPr>
      <w:r>
        <w:t>BPC-157 and Vascular Models</w:t>
      </w:r>
    </w:p>
    <w:p>
      <w:r>
        <w:t>A BPC-157 study investigated vascular responses and VEGFR2-related signalling in experimental models. Its results do not establish an outcome for a combination containing copper peptide, TB-500 and KPV.</w:t>
      </w:r>
    </w:p>
    <w:p>
      <w:r/>
      <w:hyperlink r:id="rId11">
        <w:r>
          <w:rPr>
            <w:color w:val="146B73"/>
          </w:rPr>
          <w:t>Read the BPC-157 vascular study</w:t>
        </w:r>
      </w:hyperlink>
      <w:r>
        <w:t>.</w:t>
      </w:r>
    </w:p>
    <w:p>
      <w:pPr>
        <w:pStyle w:val="Heading3"/>
      </w:pPr>
      <w:r>
        <w:t>KPV Component Evidence</w:t>
      </w:r>
    </w:p>
    <w:p>
      <w:r>
        <w:t>A 2008 Gastroenterology paper studied KPV uptake through PepT1 and inflammatory responses in cells and mouse colitis models. These experiments did not evaluate KLOW or demonstrate treatment effectiveness in human inflammatory bowel disease.</w:t>
      </w:r>
    </w:p>
    <w:p>
      <w:r/>
      <w:hyperlink r:id="rId12">
        <w:r>
          <w:rPr>
            <w:color w:val="146B73"/>
          </w:rPr>
          <w:t>Read the KPV study</w:t>
        </w:r>
      </w:hyperlink>
      <w:r>
        <w:t>.</w:t>
      </w:r>
    </w:p>
    <w:p>
      <w:pPr>
        <w:pStyle w:val="Heading3"/>
      </w:pPr>
      <w:r>
        <w:t>TB-500 and Blend Identity</w:t>
      </w:r>
    </w:p>
    <w:p>
      <w:r>
        <w:t>A published analytical investigation found the fragment Ac-LKKTETQ in a TB-500-labelled product. That finding makes sequence confirmation important. Neither the name KLOW nor its total milligram amount identifies the thymosin-related molecule or verifies compatibility of the four ingredients.</w:t>
      </w:r>
    </w:p>
    <w:p>
      <w:r/>
      <w:hyperlink r:id="rId13">
        <w:r>
          <w:rPr>
            <w:color w:val="146B73"/>
          </w:rPr>
          <w:t>Read the TB-500 identity study</w:t>
        </w:r>
      </w:hyperlink>
      <w:r>
        <w:t>.</w:t>
      </w:r>
    </w:p>
    <w:p>
      <w:pPr>
        <w:pStyle w:val="Heading2"/>
      </w:pPr>
      <w:r>
        <w:t>Research Findings at a Glance</w:t>
      </w:r>
    </w:p>
    <w:tbl>
      <w:tblPr>
        <w:tblStyle w:val="TableGrid"/>
        <w:tblW w:type="auto" w:w="0"/>
        <w:tblLayout w:type="fixed"/>
        <w:tblLook w:firstColumn="1" w:firstRow="1" w:lastColumn="0" w:lastRow="0" w:noHBand="0" w:noVBand="1" w:val="04A0"/>
      </w:tblPr>
      <w:tblGrid>
        <w:gridCol w:w="1800"/>
        <w:gridCol w:w="4032"/>
        <w:gridCol w:w="4392"/>
      </w:tblGrid>
      <w:tr>
        <w:trPr>
          <w:cantSplit/>
          <w:tblHeader/>
        </w:trPr>
        <w:tc>
          <w:tcPr>
            <w:tcW w:type="dxa" w:w="180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Research area</w:t>
            </w:r>
          </w:p>
        </w:tc>
        <w:tc>
          <w:tcPr>
            <w:tcW w:type="dxa" w:w="403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What studies have investigated</w:t>
            </w:r>
          </w:p>
        </w:tc>
        <w:tc>
          <w:tcPr>
            <w:tcW w:type="dxa" w:w="439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Important distinction</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GHK-Cu</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Connective-tissue experiments</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Ingredient evidence only</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BPC-157</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Vascular and tissue-response models</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Does not establish combined effects</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KPV</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Cellular and mouse inflammatory models</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Not a human trial of KLOW</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Finished blend</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Defined four-component composition</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Ratio, stability and clinical effects need separate assessment</w:t>
            </w:r>
          </w:p>
        </w:tc>
      </w:tr>
    </w:tbl>
    <w:p>
      <w:pPr>
        <w:pStyle w:val="Heading2"/>
      </w:pPr>
      <w:r>
        <w:t>Safety and Research Limitations</w:t>
      </w:r>
    </w:p>
    <w:p>
      <w:r>
        <w:t>The component studies do not establish safety, synergy or effectiveness of KLOW as a finished blend. Four ingredients create additional questions about interactions and stability. A total of 80 mg is a composition statement, not a recommended dose or measure of clinical potency. No claim of guaranteed skin improvement, injury recovery or inflammation control follows from the formula alone.</w:t>
      </w:r>
    </w:p>
    <w:p>
      <w:r>
        <w:t>This page summarises scientific evidence and does not provide instructions for personal use.</w:t>
      </w:r>
    </w:p>
    <w:p>
      <w:pPr>
        <w:pStyle w:val="Heading2"/>
      </w:pPr>
      <w:r>
        <w:t>Understanding KLOW Blend Testing and COAs</w:t>
      </w:r>
    </w:p>
    <w:p>
      <w:r>
        <w:t>Analytical methods answer different questions. A Certificate of Analysis should identify the submitted sample and report the actual measurements performed.</w:t>
      </w:r>
    </w:p>
    <w:p>
      <w:pPr>
        <w:pStyle w:val="ListBullet"/>
      </w:pPr>
      <w:r/>
      <w:r>
        <w:rPr>
          <w:b/>
        </w:rPr>
        <w:t>Purity:</w:t>
      </w:r>
      <w:r>
        <w:t xml:space="preserve"> Chromatographic testing measures detected components under specified conditions; a percentage alone does not establish vial content.</w:t>
      </w:r>
    </w:p>
    <w:p>
      <w:pPr>
        <w:pStyle w:val="ListBullet"/>
      </w:pPr>
      <w:r/>
      <w:r>
        <w:rPr>
          <w:b/>
        </w:rPr>
        <w:t>Identity:</w:t>
      </w:r>
      <w:r>
        <w:t xml:space="preserve"> Appropriate methods, such as mass spectrometry with complementary analysis where needed, assess consistency with the stated material.</w:t>
      </w:r>
    </w:p>
    <w:p>
      <w:pPr>
        <w:pStyle w:val="ListBullet"/>
      </w:pPr>
      <w:r/>
      <w:r>
        <w:rPr>
          <w:b/>
        </w:rPr>
        <w:t>Content:</w:t>
      </w:r>
      <w:r>
        <w:t xml:space="preserve"> A validated quantitative assay measures the amount of the specified analyte or each blend component.</w:t>
      </w:r>
    </w:p>
    <w:p>
      <w:r>
        <w:t>The declared mass ratio is 5:1:1:1 for GHK-Cu:BPC-157:TB-500:KPV. This is a mass ratio, not a molar ratio. A suitable report should resolve and identify all four components and quantify their individual contents; peak areas alone do not verify these milligram amounts. Copper characterisation and the exact TB-500 sequence require appropriate methods.</w:t>
      </w:r>
    </w:p>
    <w:p>
      <w:r>
        <w:t xml:space="preserve">Purity does not establish sterility, endotoxin status or clinical effectiveness. Explore PEPLAB’s </w:t>
      </w:r>
      <w:hyperlink r:id="rId14">
        <w:r>
          <w:rPr>
            <w:color w:val="146B73"/>
          </w:rPr>
          <w:t>Quality &amp; Testing</w:t>
        </w:r>
      </w:hyperlink>
      <w:r>
        <w:t xml:space="preserve"> information and available </w:t>
      </w:r>
      <w:hyperlink r:id="rId15">
        <w:r>
          <w:rPr>
            <w:color w:val="146B73"/>
          </w:rPr>
          <w:t>COA Results</w:t>
        </w:r>
      </w:hyperlink>
      <w:r>
        <w:t>, checking whether a report covers the material and batch being assessed.</w:t>
      </w:r>
    </w:p>
    <w:p>
      <w:pPr>
        <w:pStyle w:val="Heading2"/>
      </w:pPr>
      <w:r>
        <w:t>Frequently Asked Questions</w:t>
      </w:r>
    </w:p>
    <w:p>
      <w:pPr>
        <w:pStyle w:val="Heading3"/>
      </w:pPr>
      <w:r>
        <w:t>What is in KLOW?</w:t>
      </w:r>
    </w:p>
    <w:p>
      <w:r>
        <w:t>The stated PEPLAB formula is GHK-Cu 50 mg, BPC-157 10 mg, TB-500 10 mg and KPV 10 mg, totalling 80 mg.</w:t>
      </w:r>
    </w:p>
    <w:p>
      <w:pPr>
        <w:pStyle w:val="Heading3"/>
      </w:pPr>
      <w:r>
        <w:t>What is the difference between KLOW and GLOW?</w:t>
      </w:r>
    </w:p>
    <w:p>
      <w:r>
        <w:t>PEPLAB’s KLOW formula contains the same stated GHK-Cu, BPC-157 and TB-500 amounts as GLOW, with an additional 10 mg of KPV.</w:t>
      </w:r>
    </w:p>
    <w:p>
      <w:pPr>
        <w:pStyle w:val="Heading3"/>
      </w:pPr>
      <w:r>
        <w:t>Is KLOW a single peptide?</w:t>
      </w:r>
    </w:p>
    <w:p>
      <w:r>
        <w:t>No. It is a four-component mixture. Its ingredients must be identified and quantified separately.</w:t>
      </w:r>
    </w:p>
    <w:p>
      <w:pPr>
        <w:pStyle w:val="Heading3"/>
      </w:pPr>
      <w:r>
        <w:t>Does adding KPV make KLOW better?</w:t>
      </w:r>
    </w:p>
    <w:p>
      <w:r>
        <w:t>Not necessarily. Superiority would require a direct comparison of the characterised formulas. An additional ingredient does not demonstrate an improved outcome.</w:t>
      </w:r>
    </w:p>
    <w:p>
      <w:pPr>
        <w:pStyle w:val="Heading3"/>
      </w:pPr>
      <w:r>
        <w:t>Has this 80 mg blend been clinically validated?</w:t>
      </w:r>
    </w:p>
    <w:p>
      <w:r>
        <w:t>No controlled study of this exact formula was identified in the sources reviewed. The references concern ingredients and related experimental models.</w:t>
      </w:r>
    </w:p>
    <w:p>
      <w:pPr>
        <w:pStyle w:val="Heading3"/>
      </w:pPr>
      <w:r>
        <w:t>Does 80 mg mean every component is verified?</w:t>
      </w:r>
    </w:p>
    <w:p>
      <w:r>
        <w:t>No. The amount is the stated total. A batch-matched quantitative report is needed to verify each ingredient and the finished blend.</w:t>
      </w:r>
    </w:p>
    <w:p>
      <w:pPr>
        <w:pStyle w:val="Heading3"/>
      </w:pPr>
      <w:r>
        <w:t>Where can I find KLOW Blend research papers?</w:t>
      </w:r>
    </w:p>
    <w:p>
      <w:r>
        <w:t>Start with the original-study links above. Check the molecule, formulation, study population and measured outcomes before applying a finding to another preparation.</w:t>
      </w:r>
    </w:p>
    <w:p>
      <w:pPr>
        <w:pStyle w:val="Heading2"/>
      </w:pPr>
      <w:r>
        <w:t>Explore PEPLAB Research</w:t>
      </w:r>
    </w:p>
    <w:p>
      <w:r>
        <w:t xml:space="preserve">Visit our </w:t>
      </w:r>
      <w:hyperlink r:id="rId9">
        <w:r>
          <w:rPr>
            <w:color w:val="146B73"/>
          </w:rPr>
          <w:t>Research Overview</w:t>
        </w:r>
      </w:hyperlink>
      <w:r>
        <w:t xml:space="preserve"> for guidance on scientific evidence and laboratory testing. Select Find Your Compound to explore other compound-specific research pages.</w:t>
      </w:r>
    </w:p>
    <w:p>
      <w:r>
        <w:t xml:space="preserve">Related research: </w:t>
      </w:r>
      <w:hyperlink r:id="rId16">
        <w:r>
          <w:rPr>
            <w:color w:val="146B73"/>
          </w:rPr>
          <w:t>GLOW Blend</w:t>
        </w:r>
      </w:hyperlink>
      <w:r>
        <w:t xml:space="preserve"> · </w:t>
      </w:r>
      <w:hyperlink r:id="rId17">
        <w:r>
          <w:rPr>
            <w:color w:val="146B73"/>
          </w:rPr>
          <w:t>GHK-Cu</w:t>
        </w:r>
      </w:hyperlink>
      <w:r>
        <w:t xml:space="preserve"> · </w:t>
      </w:r>
      <w:hyperlink r:id="rId18">
        <w:r>
          <w:rPr>
            <w:color w:val="146B73"/>
          </w:rPr>
          <w:t>BPC-157</w:t>
        </w:r>
      </w:hyperlink>
      <w:r>
        <w:t xml:space="preserve"> · </w:t>
      </w:r>
      <w:hyperlink r:id="rId19">
        <w:r>
          <w:rPr>
            <w:color w:val="146B73"/>
          </w:rPr>
          <w:t>KPV</w:t>
        </w:r>
      </w:hyperlink>
      <w:r>
        <w:t>.</w:t>
      </w:r>
    </w:p>
    <w:p>
      <w:r/>
      <w:r>
        <w:rPr>
          <w:b/>
        </w:rPr>
        <w:t>Buttons:</w:t>
      </w:r>
      <w:r>
        <w:t xml:space="preserve"> Research Overview | Find Your Compound</w:t>
      </w:r>
    </w:p>
    <w:p>
      <w:pPr>
        <w:pStyle w:val="Subtitle"/>
      </w:pPr>
      <w:r>
        <w:t>WEBSITE COPY END</w:t>
      </w:r>
    </w:p>
    <w:p>
      <w:r>
        <w:br w:type="page"/>
      </w:r>
    </w:p>
    <w:p>
      <w:pPr>
        <w:pStyle w:val="Heading1"/>
      </w:pPr>
      <w:r>
        <w:t>3 Developer and editorial notes</w:t>
      </w:r>
    </w:p>
    <w:p>
      <w:r>
        <w:t>Formula supplied by PEPLAB: 50 + 10 + 10 + 10 = 80 mg. These are declared amounts, not independently verified analytical results. Confirm the exact TB-500 molecular identity before final publication.</w:t>
      </w:r>
    </w:p>
    <w:p>
      <w:r>
        <w:t>Confirm the Research Overview URL and reuse the existing Find Your Compound button target. Suggested new compound links should be enabled only after their pages exist. Add truthful authorship and publication details; see the implementation guide for search and structured-data notes.</w:t>
      </w:r>
    </w:p>
    <w:p>
      <w:pPr>
        <w:pStyle w:val="Heading2"/>
      </w:pPr>
      <w:r>
        <w:t>SEO and AI search implementation</w:t>
      </w:r>
    </w:p>
    <w:p>
      <w:pPr>
        <w:pStyle w:val="ListBullet"/>
      </w:pPr>
      <w:r>
        <w:t>Use the final page URL as the self-referencing canonical. Add the published URL to the XML sitemap and link to it from the research hub and relevant compound pages.</w:t>
      </w:r>
    </w:p>
    <w:p>
      <w:pPr>
        <w:pStyle w:val="ListBullet"/>
      </w:pPr>
      <w:r>
        <w:t>Make the complete article available as crawlable HTML, including table text, FAQs and reference links. Check indexing eligibility and the rendered page in Google Search Console.</w:t>
      </w:r>
    </w:p>
    <w:p>
      <w:pPr>
        <w:pStyle w:val="ListBullet"/>
      </w:pPr>
      <w:r>
        <w:t>Use accurate Article and BreadcrumbList structured data where supported by the site. Match it to visible content and actual authorship. Do not invent reviews, ratings, credentials or publication dates.</w:t>
      </w:r>
    </w:p>
    <w:p>
      <w:pPr>
        <w:pStyle w:val="ListBullet"/>
      </w:pPr>
      <w:r>
        <w:t>Keep answers concise and place source links alongside the relevant research claims. There is no special GEO schema required for Google AI features, and no ranking or citation outcome is guaranteed.</w:t>
      </w:r>
    </w:p>
    <w:p>
      <w:pPr>
        <w:pStyle w:val="ListBullet"/>
      </w:pPr>
      <w:r>
        <w:t>Only show a scientific reviewer if someone has actually reviewed the page. Keep any review date tied to a completed review.</w:t>
      </w:r>
    </w:p>
    <w:p>
      <w:pPr>
        <w:pStyle w:val="ListBullet"/>
      </w:pPr>
      <w:r>
        <w:t>Confirm the Research Overview route before launch. Enable related GLOW, GHK-Cu, BPC-157 and KPV links when those pages exist.</w:t>
      </w:r>
    </w:p>
    <w:p>
      <w:pPr>
        <w:pStyle w:val="Heading2"/>
      </w:pPr>
      <w:r>
        <w:t>Evidence and formula checks</w:t>
      </w:r>
    </w:p>
    <w:p>
      <w:pPr>
        <w:pStyle w:val="ListBullet"/>
      </w:pPr>
      <w:r>
        <w:t>The formula is GHK-Cu 50 mg, BPC-157 10 mg, TB-500 10 mg and KPV 10 mg, totalling 80 mg. The declared mass ratio is 5:1:1:1.</w:t>
      </w:r>
    </w:p>
    <w:p>
      <w:pPr>
        <w:pStyle w:val="ListBullet"/>
      </w:pPr>
      <w:r>
        <w:t>Confirm the exact TB-500 identity and sequence against supplier documentation. Do not attribute full-length thymosin beta-4 findings to an unspecified fragment.</w:t>
      </w:r>
    </w:p>
    <w:p>
      <w:pPr>
        <w:pStyle w:val="ListBullet"/>
      </w:pPr>
      <w:r>
        <w:t>Component studies do not establish efficacy, synergy or safety of the finished mixture. Preserve this distinction in any shortened copy.</w:t>
      </w:r>
    </w:p>
    <w:p>
      <w:pPr>
        <w:pStyle w:val="ListBullet"/>
      </w:pPr>
      <w:r>
        <w:t>Link only to relevant batch reports. Purity results alone do not establish individual component amounts, sterility or stability.</w:t>
      </w:r>
    </w:p>
    <w:p>
      <w:pPr>
        <w:pStyle w:val="Heading2"/>
      </w:pPr>
      <w:r>
        <w:t>Google implementation references</w:t>
      </w:r>
    </w:p>
    <w:p>
      <w:r/>
      <w:hyperlink r:id="rId20">
        <w:r>
          <w:rPr>
            <w:color w:val="146B73"/>
          </w:rPr>
          <w:t>Google AI features and your website</w:t>
        </w:r>
      </w:hyperlink>
      <w:r/>
    </w:p>
    <w:p>
      <w:r/>
      <w:hyperlink r:id="rId21">
        <w:r>
          <w:rPr>
            <w:color w:val="146B73"/>
          </w:rPr>
          <w:t>SEO guidance for developers</w:t>
        </w:r>
      </w:hyperlink>
      <w:r/>
    </w:p>
    <w:p>
      <w:r/>
      <w:hyperlink r:id="rId22">
        <w:r>
          <w:rPr>
            <w:color w:val="146B73"/>
          </w:rPr>
          <w:t>Structured data policies</w:t>
        </w:r>
      </w:hyperlink>
      <w:r/>
    </w:p>
    <w:sectPr w:rsidR="00FC693F" w:rsidRPr="0006063C" w:rsidSect="00034616">
      <w:footerReference w:type="default" r:id="rId23"/>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PEPLAB | KLOW Blend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eplab.com.au/research" TargetMode="External"/><Relationship Id="rId10" Type="http://schemas.openxmlformats.org/officeDocument/2006/relationships/hyperlink" Target="https://pubmed.ncbi.nlm.nih.gov/8227353/" TargetMode="External"/><Relationship Id="rId11" Type="http://schemas.openxmlformats.org/officeDocument/2006/relationships/hyperlink" Target="https://pubmed.ncbi.nlm.nih.gov/27847966/" TargetMode="External"/><Relationship Id="rId12" Type="http://schemas.openxmlformats.org/officeDocument/2006/relationships/hyperlink" Target="https://pubmed.ncbi.nlm.nih.gov/18061177/" TargetMode="External"/><Relationship Id="rId13" Type="http://schemas.openxmlformats.org/officeDocument/2006/relationships/hyperlink" Target="https://pubmed.ncbi.nlm.nih.gov/22962027/" TargetMode="External"/><Relationship Id="rId14" Type="http://schemas.openxmlformats.org/officeDocument/2006/relationships/hyperlink" Target="https://peplab.com.au/standards" TargetMode="External"/><Relationship Id="rId15" Type="http://schemas.openxmlformats.org/officeDocument/2006/relationships/hyperlink" Target="https://peplab.com.au/coa" TargetMode="External"/><Relationship Id="rId16" Type="http://schemas.openxmlformats.org/officeDocument/2006/relationships/hyperlink" Target="https://peplab.com.au/research/compounds/glow" TargetMode="External"/><Relationship Id="rId17" Type="http://schemas.openxmlformats.org/officeDocument/2006/relationships/hyperlink" Target="https://peplab.com.au/research/compounds/ghk-cu" TargetMode="External"/><Relationship Id="rId18" Type="http://schemas.openxmlformats.org/officeDocument/2006/relationships/hyperlink" Target="https://peplab.com.au/research/compounds/bpc-157" TargetMode="External"/><Relationship Id="rId19" Type="http://schemas.openxmlformats.org/officeDocument/2006/relationships/hyperlink" Target="https://peplab.com.au/research/compounds/kpv" TargetMode="External"/><Relationship Id="rId20" Type="http://schemas.openxmlformats.org/officeDocument/2006/relationships/hyperlink" Target="https://developers.google.com/search/docs/appearance/ai-features" TargetMode="External"/><Relationship Id="rId21" Type="http://schemas.openxmlformats.org/officeDocument/2006/relationships/hyperlink" Target="https://developers.google.com/search/docs/fundamentals/get-started-developers" TargetMode="External"/><Relationship Id="rId22" Type="http://schemas.openxmlformats.org/officeDocument/2006/relationships/hyperlink" Target="https://developers.google.com/search/docs/appearance/structured-data/sd-policies" TargetMode="External"/><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PEPLAB KLOW Blend Developer Handoff</dc:title>
  <dc:subject>KLOW 80 mg research page copy and SEO implementation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