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KPV</w:t>
      </w:r>
    </w:p>
    <w:p>
      <w:r>
        <w:t>Website developer handoff</w:t>
      </w:r>
    </w:p>
    <w:p>
      <w:r>
        <w:t>Build this research page using the existing Retatrutide layout. This document contains SEO fields, complete page copy with clickable study references, and implementation notes. Publish only section 2 as the article.</w:t>
      </w:r>
    </w:p>
    <w:p>
      <w:pPr>
        <w:pStyle w:val="Heading2"/>
      </w:pPr>
      <w:r>
        <w:t>1 SEO settings</w:t>
      </w:r>
    </w:p>
    <w:p>
      <w:pPr>
        <w:pStyle w:val="ListBullet"/>
      </w:pPr>
      <w:r/>
      <w:r>
        <w:rPr>
          <w:b/>
        </w:rPr>
        <w:t>Title tag:</w:t>
      </w:r>
      <w:r>
        <w:t xml:space="preserve"> KPV Research: Inflammatory Signalling &amp; Gut Models | PEPLAB</w:t>
      </w:r>
    </w:p>
    <w:p>
      <w:pPr>
        <w:pStyle w:val="ListBullet"/>
      </w:pPr>
      <w:r/>
      <w:r>
        <w:rPr>
          <w:b/>
        </w:rPr>
        <w:t>Meta description:</w:t>
      </w:r>
      <w:r>
        <w:t xml:space="preserve"> Explore KPV tripeptide research on PepT1 transport, inflammatory signalling and intestinal models, with original papers, evidence limits and COA guidance.</w:t>
      </w:r>
    </w:p>
    <w:p>
      <w:pPr>
        <w:pStyle w:val="ListBullet"/>
      </w:pPr>
      <w:r/>
      <w:r>
        <w:rPr>
          <w:b/>
        </w:rPr>
        <w:t>Suggested URL:</w:t>
      </w:r>
      <w:r>
        <w:t xml:space="preserve"> https://peplab.com.au/research/compounds/kpv</w:t>
      </w:r>
    </w:p>
    <w:p>
      <w:pPr>
        <w:pStyle w:val="ListBullet"/>
      </w:pPr>
      <w:r/>
      <w:r>
        <w:rPr>
          <w:b/>
        </w:rPr>
        <w:t>Primary topic:</w:t>
      </w:r>
      <w:r>
        <w:t xml:space="preserve"> KPV research</w:t>
      </w:r>
    </w:p>
    <w:p>
      <w:r>
        <w:br w:type="page"/>
      </w:r>
    </w:p>
    <w:p>
      <w:r>
        <w:t>2 WEBSITE COPY START</w:t>
      </w:r>
    </w:p>
    <w:p>
      <w:r>
        <w:t>TRIPEPTIDES / INFLAMMATION RESEARCH</w:t>
      </w:r>
    </w:p>
    <w:p>
      <w:pPr>
        <w:pStyle w:val="Heading1"/>
      </w:pPr>
      <w:r>
        <w:t>KPV Research Overview</w:t>
      </w:r>
    </w:p>
    <w:p>
      <w:pPr>
        <w:pStyle w:val="Heading2"/>
      </w:pPr>
      <w:r>
        <w:t>Lysine–Proline–Valine and Cellular Inflammation Models</w:t>
      </w:r>
    </w:p>
    <w:p>
      <w:r>
        <w:t>KPV is a three-amino-acid peptide studied in experimental inflammatory models, particularly intestinal cell systems and mouse colitis. The sequence is lysine–proline–valine. This page explains its relationship to melanocortin biology, selected primary research and the limits of using preclinical findings to make claims about human gut or skin conditions.</w:t>
      </w:r>
    </w:p>
    <w:p>
      <w:r>
        <w:t xml:space="preserve">For guidance on study design and analytical evidence, visit PEPLAB’s </w:t>
      </w:r>
      <w:hyperlink r:id="rId9">
        <w:r>
          <w:rPr>
            <w:color w:val="146B73"/>
          </w:rPr>
          <w:t>Research Overview</w:t>
        </w:r>
      </w:hyperlink>
      <w:r>
        <w:t>.</w:t>
      </w:r>
    </w:p>
    <w:p>
      <w:pPr>
        <w:pStyle w:val="Heading2"/>
      </w:pPr>
      <w:r>
        <w:t>What Is KPV?</w:t>
      </w:r>
    </w:p>
    <w:p>
      <w:r>
        <w:t>KPV corresponds to the C-terminal three-amino-acid sequence of alpha-melanocyte-stimulating hormone, or alpha-MSH. A short fragment can have different properties from the full hormone. KPV should not be assumed to reproduce every melanocortin effect, and its research identity must include the sequence and any terminal modifications.</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KPV</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Sequence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Lys–Pro–Val</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Tripeptide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Peptide length</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Three amino acids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Inflammatory signalling, epithelial biology and intestinal models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base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Predominantly cellular and animal studies</w:t>
            </w:r>
          </w:p>
        </w:tc>
      </w:tr>
    </w:tbl>
    <w:p>
      <w:pPr>
        <w:pStyle w:val="Heading2"/>
      </w:pPr>
      <w:r>
        <w:t>How Does KPV Work?</w:t>
      </w:r>
    </w:p>
    <w:p>
      <w:pPr>
        <w:pStyle w:val="Heading3"/>
      </w:pPr>
      <w:r>
        <w:t>Peptide Transport</w:t>
      </w:r>
    </w:p>
    <w:p>
      <w:r>
        <w:t>PepT1 transports certain short peptides into cells. Research has examined its role in KPV uptake in intestinal epithelial and immune-cell systems.</w:t>
      </w:r>
    </w:p>
    <w:p>
      <w:pPr>
        <w:pStyle w:val="Heading3"/>
      </w:pPr>
      <w:r>
        <w:t>Inflammatory Pathways</w:t>
      </w:r>
    </w:p>
    <w:p>
      <w:r>
        <w:t>Experimental work has assessed NF-κB and MAP kinase activity after inflammatory stimulation. Changes in these pathways help investigate possible mechanisms.</w:t>
      </w:r>
    </w:p>
    <w:p>
      <w:pPr>
        <w:pStyle w:val="Heading3"/>
      </w:pPr>
      <w:r>
        <w:t>Model-Specific Effects</w:t>
      </w:r>
    </w:p>
    <w:p>
      <w:r>
        <w:t>Mouse colitis and cultured-cell responses provide hypotheses for further testing. They are not the same as diagnosed human inflammatory bowel disease or skin disease.</w:t>
      </w:r>
    </w:p>
    <w:p>
      <w:pPr>
        <w:pStyle w:val="Heading2"/>
      </w:pPr>
      <w:r>
        <w:t>KPV Research Findings</w:t>
      </w:r>
    </w:p>
    <w:p>
      <w:pPr>
        <w:pStyle w:val="Heading3"/>
      </w:pPr>
      <w:r>
        <w:t>Cellular Uptake and Signalling</w:t>
      </w:r>
    </w:p>
    <w:p>
      <w:r>
        <w:t>A 2008 Gastroenterology paper examined PepT1-mediated KPV transport alongside inflammatory pathway changes in cell models. It linked uptake with reduced inflammatory signalling under the experimental conditions.</w:t>
      </w:r>
    </w:p>
    <w:p>
      <w:r/>
      <w:hyperlink r:id="rId10">
        <w:r>
          <w:rPr>
            <w:color w:val="146B73"/>
          </w:rPr>
          <w:t>Read the PepT1 study</w:t>
        </w:r>
      </w:hyperlink>
      <w:r>
        <w:t>.</w:t>
      </w:r>
    </w:p>
    <w:p>
      <w:pPr>
        <w:pStyle w:val="Heading3"/>
      </w:pPr>
      <w:r>
        <w:t>Mouse Colitis Research</w:t>
      </w:r>
    </w:p>
    <w:p>
      <w:r>
        <w:t>A separate 2008 paper investigated KPV in murine inflammatory bowel disease models. It adds preclinical evidence about inflammatory responses, but an induced mouse condition differs from the complex causes and course of Crohn’s disease or ulcerative colitis in people.</w:t>
      </w:r>
    </w:p>
    <w:p>
      <w:r/>
      <w:hyperlink r:id="rId11">
        <w:r>
          <w:rPr>
            <w:color w:val="146B73"/>
          </w:rPr>
          <w:t>Read the murine inflammatory study</w:t>
        </w:r>
      </w:hyperlink>
      <w:r>
        <w:t>.</w:t>
      </w:r>
    </w:p>
    <w:p>
      <w:pPr>
        <w:pStyle w:val="Heading3"/>
      </w:pPr>
      <w:r>
        <w:t>What Human Evidence Would Need to Show</w:t>
      </w:r>
    </w:p>
    <w:p>
      <w:r>
        <w:t>The cited primary studies do not establish KPV as a treatment for a human gut or skin disorder. Controlled clinical research would need to assess symptoms, disease activity, adverse events and formulation-specific exposure. A laboratory decrease in an inflammatory marker is not a substitute for those outcomes.</w:t>
      </w:r>
    </w:p>
    <w:p>
      <w:r/>
      <w:hyperlink r:id="rId10">
        <w:r>
          <w:rPr>
            <w:color w:val="146B73"/>
          </w:rPr>
          <w:t>Review the experimental scope of the PepT1 study</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have investigated</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Transport</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KPV uptake through PepT1 in cell systems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Delivery findings depend on the model</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Inflammation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Pathway and cytokine responses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Biomarkers do not establish symptom relief</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Intestinal disease models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Experimental mouse colitis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proof of human IBD treatment</w:t>
            </w:r>
          </w:p>
        </w:tc>
      </w:tr>
    </w:tbl>
    <w:p>
      <w:pPr>
        <w:pStyle w:val="Heading2"/>
      </w:pPr>
      <w:r>
        <w:t>Safety and Research Limitations</w:t>
      </w:r>
    </w:p>
    <w:p>
      <w:r>
        <w:t>The cited cellular and animal studies do not establish long-term human safety or effectiveness. A short amino-acid sequence or relationship to a natural hormone does not establish freedom from adverse effects. Formulation, route and exposure need their own human assessment.</w:t>
      </w:r>
    </w:p>
    <w:p>
      <w:r>
        <w:t>This page summarises scientific evidence and does not provide instructions for personal use.</w:t>
      </w:r>
    </w:p>
    <w:p>
      <w:pPr>
        <w:pStyle w:val="Heading2"/>
      </w:pPr>
      <w:r>
        <w:t>Understanding KPV Testing and COAs</w:t>
      </w:r>
    </w:p>
    <w:p>
      <w:r>
        <w:t>Analytical methods answer different questions. A Certificate of Analysis should identify the submitted sample and report the actual measurements performed.</w:t>
      </w:r>
    </w:p>
    <w:p>
      <w:pPr>
        <w:pStyle w:val="ListBullet"/>
      </w:pPr>
      <w:r/>
      <w:r>
        <w:rPr>
          <w:b/>
        </w:rPr>
        <w:t>Purity:</w:t>
      </w:r>
      <w:r>
        <w:t xml:space="preserve"> Chromatographic testing measures detected components under specified conditions; a percentage alone does not establish vial content.</w:t>
      </w:r>
    </w:p>
    <w:p>
      <w:pPr>
        <w:pStyle w:val="ListBullet"/>
      </w:pPr>
      <w:r/>
      <w:r>
        <w:rPr>
          <w:b/>
        </w:rPr>
        <w:t>Identity:</w:t>
      </w:r>
      <w:r>
        <w:t xml:space="preserve"> Appropriate methods, such as mass spectrometry with complementary analysis where needed, assess consistency with the stated material.</w:t>
      </w:r>
    </w:p>
    <w:p>
      <w:pPr>
        <w:pStyle w:val="ListBullet"/>
      </w:pPr>
      <w:r/>
      <w:r>
        <w:rPr>
          <w:b/>
        </w:rPr>
        <w:t>Content:</w:t>
      </w:r>
      <w:r>
        <w:t xml:space="preserve"> A validated quantitative assay measures the amount of the specified compound.</w:t>
      </w:r>
    </w:p>
    <w:p>
      <w:r>
        <w:t>A KPV report should specify the amino-acid sequence, terminal chemistry and quantitative content. Closely named or chemically modified preparations should not be assumed equivalent. Purity and content are separate measurements even for a short peptide.</w:t>
      </w:r>
    </w:p>
    <w:p>
      <w:r>
        <w:t xml:space="preserve">Purity does not establish sterility, endotoxin status or clinical effectiveness. Explore PEPLAB’s </w:t>
      </w:r>
      <w:hyperlink r:id="rId12">
        <w:r>
          <w:rPr>
            <w:color w:val="146B73"/>
          </w:rPr>
          <w:t>Quality &amp; Testing</w:t>
        </w:r>
      </w:hyperlink>
      <w:r>
        <w:t xml:space="preserve"> information and available </w:t>
      </w:r>
      <w:hyperlink r:id="rId13">
        <w:r>
          <w:rPr>
            <w:color w:val="146B73"/>
          </w:rPr>
          <w:t>COA Results</w:t>
        </w:r>
      </w:hyperlink>
      <w:r>
        <w:t>, checking whether a report covers the material and batch being assessed.</w:t>
      </w:r>
    </w:p>
    <w:p>
      <w:pPr>
        <w:pStyle w:val="Heading2"/>
      </w:pPr>
      <w:r>
        <w:t>Frequently Asked Questions</w:t>
      </w:r>
    </w:p>
    <w:p>
      <w:pPr>
        <w:pStyle w:val="Heading3"/>
      </w:pPr>
      <w:r>
        <w:t>What does KPV stand for?</w:t>
      </w:r>
    </w:p>
    <w:p>
      <w:r>
        <w:t>K, P and V are the one-letter amino-acid codes for lysine, proline and valine.</w:t>
      </w:r>
    </w:p>
    <w:p>
      <w:pPr>
        <w:pStyle w:val="Heading3"/>
      </w:pPr>
      <w:r>
        <w:t>Is KPV a peptide?</w:t>
      </w:r>
    </w:p>
    <w:p>
      <w:r>
        <w:t>Yes. It is a tripeptide, meaning it contains three amino acids.</w:t>
      </w:r>
    </w:p>
    <w:p>
      <w:pPr>
        <w:pStyle w:val="Heading3"/>
      </w:pPr>
      <w:r>
        <w:t>Is KPV the same as alpha-MSH?</w:t>
      </w:r>
    </w:p>
    <w:p>
      <w:r>
        <w:t>No. KPV corresponds to a short terminal sequence of alpha-MSH. A fragment is not equivalent to the full hormone.</w:t>
      </w:r>
    </w:p>
    <w:p>
      <w:pPr>
        <w:pStyle w:val="Heading3"/>
      </w:pPr>
      <w:r>
        <w:t>Has KPV been proven to treat gut disease?</w:t>
      </w:r>
    </w:p>
    <w:p>
      <w:r>
        <w:t>The cited studies concern cells and mice. They do not establish effectiveness for Crohn’s disease, ulcerative colitis or other human gut disorders.</w:t>
      </w:r>
    </w:p>
    <w:p>
      <w:pPr>
        <w:pStyle w:val="Heading3"/>
      </w:pPr>
      <w:r>
        <w:t>Does KPV have proven skin benefits?</w:t>
      </w:r>
    </w:p>
    <w:p>
      <w:r>
        <w:t>The intestinal studies described here do not establish a clinical skin benefit. Each condition and formulation needs relevant evidence.</w:t>
      </w:r>
    </w:p>
    <w:p>
      <w:pPr>
        <w:pStyle w:val="Heading3"/>
      </w:pPr>
      <w:r>
        <w:t>Does KPV make KLOW clinically better than GLOW?</w:t>
      </w:r>
    </w:p>
    <w:p>
      <w:r>
        <w:t>No such conclusion follows from component research. It would require a direct study of the characterised blends.</w:t>
      </w:r>
    </w:p>
    <w:p>
      <w:pPr>
        <w:pStyle w:val="Heading3"/>
      </w:pPr>
      <w:r>
        <w:t>Where can I find KPV research papers?</w:t>
      </w:r>
    </w:p>
    <w:p>
      <w:r>
        <w:t>Start with the original-study links above. Check the molecule, formulation, study population and measured outcomes before applying a finding to another preparation.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t xml:space="preserve">Related research: </w:t>
      </w:r>
      <w:hyperlink r:id="rId14">
        <w:r>
          <w:rPr>
            <w:color w:val="146B73"/>
          </w:rPr>
          <w:t>KLOW Blend</w:t>
        </w:r>
      </w:hyperlink>
      <w:r>
        <w:t>.</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5">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Preserve the distinction between cells, mouse models and human outcomes. Specify the sequence and terminal chemistry; do not assume every KPV derivative is equivalent.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18061177/" TargetMode="External"/><Relationship Id="rId11" Type="http://schemas.openxmlformats.org/officeDocument/2006/relationships/hyperlink" Target="https://pubmed.ncbi.nlm.nih.gov/18092346/" TargetMode="External"/><Relationship Id="rId12" Type="http://schemas.openxmlformats.org/officeDocument/2006/relationships/hyperlink" Target="https://peplab.com.au/standards" TargetMode="External"/><Relationship Id="rId13" Type="http://schemas.openxmlformats.org/officeDocument/2006/relationships/hyperlink" Target="https://peplab.com.au/coa" TargetMode="External"/><Relationship Id="rId14" Type="http://schemas.openxmlformats.org/officeDocument/2006/relationships/hyperlink" Target="https://peplab.com.au/research/compounds/klow" TargetMode="External"/><Relationship Id="rId15"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KPV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