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Melanotan II</w:t>
      </w:r>
    </w:p>
    <w:p>
      <w:r>
        <w:t>Website developer handoff</w:t>
      </w:r>
    </w:p>
    <w:p>
      <w:r>
        <w:t>Build a Melanotan II research page using the Retatrutide page layout. This handoff includes metadata, complete page copy, research references and implementation notes. Research sources checked 8 October 2026.</w:t>
      </w:r>
    </w:p>
    <w:p>
      <w:pPr>
        <w:pStyle w:val="Heading2"/>
      </w:pPr>
      <w:r>
        <w:t>1 SEO settings</w:t>
      </w:r>
    </w:p>
    <w:p>
      <w:pPr>
        <w:pStyle w:val="ListBullet"/>
      </w:pPr>
      <w:r/>
      <w:r>
        <w:rPr>
          <w:b/>
        </w:rPr>
        <w:t>Title tag:</w:t>
      </w:r>
      <w:r>
        <w:t xml:space="preserve"> Melanotan 2 Research Overview &amp; Safety | PEPLAB</w:t>
      </w:r>
    </w:p>
    <w:p>
      <w:pPr>
        <w:pStyle w:val="ListBullet"/>
      </w:pPr>
      <w:r/>
      <w:r>
        <w:rPr>
          <w:b/>
        </w:rPr>
        <w:t>Meta description:</w:t>
      </w:r>
      <w:r>
        <w:t xml:space="preserve"> Explore Melanotan II (MT-2) research, melanocortin activity, early human studies, safety limitations, evidence limitations and analytical testing.</w:t>
      </w:r>
    </w:p>
    <w:p>
      <w:pPr>
        <w:pStyle w:val="ListBullet"/>
      </w:pPr>
      <w:r/>
      <w:r>
        <w:rPr>
          <w:b/>
        </w:rPr>
        <w:t>Suggested URL:</w:t>
      </w:r>
      <w:r>
        <w:t xml:space="preserve"> https://peplab.com.au/research/compounds/melanotan-2</w:t>
      </w:r>
    </w:p>
    <w:p>
      <w:pPr>
        <w:pStyle w:val="ListBullet"/>
      </w:pPr>
      <w:r/>
      <w:r>
        <w:rPr>
          <w:b/>
        </w:rPr>
        <w:t>Primary topic:</w:t>
      </w:r>
      <w:r>
        <w:t xml:space="preserve"> Melanotan 2 research</w:t>
      </w:r>
    </w:p>
    <w:p>
      <w:pPr>
        <w:pStyle w:val="ListBullet"/>
      </w:pPr>
      <w:r/>
      <w:r>
        <w:rPr>
          <w:b/>
        </w:rPr>
        <w:t>Related terminology:</w:t>
      </w:r>
      <w:r>
        <w:t xml:space="preserve"> Melanotan II, Melanotan-II, MT-II, MT-2, melanocortin receptor agonist.</w:t>
      </w:r>
    </w:p>
    <w:p>
      <w:r>
        <w:t>Use one H1, Melanotan II Research Overview. Preserve H2 sections and H3 subsections. Publish only section 2 as the article. Match the existing research page typography, tables and FAQ presentation.</w:t>
      </w:r>
    </w:p>
    <w:p>
      <w:r>
        <w:br w:type="page"/>
      </w:r>
    </w:p>
    <w:p>
      <w:r>
        <w:t>2 WEBSITE COPY START</w:t>
      </w:r>
    </w:p>
    <w:p>
      <w:r>
        <w:t>MELANOCORTIN / PIGMENTATION RESEARCH</w:t>
      </w:r>
    </w:p>
    <w:p>
      <w:pPr>
        <w:pStyle w:val="Heading1"/>
      </w:pPr>
      <w:r>
        <w:t>Melanotan II Research Overview</w:t>
      </w:r>
    </w:p>
    <w:p>
      <w:pPr>
        <w:pStyle w:val="Heading2"/>
      </w:pPr>
      <w:r>
        <w:t>Melanocortin Activity and Pigmentation Research</w:t>
      </w:r>
    </w:p>
    <w:p>
      <w:r>
        <w:t>Melanotan II, also called Melanotan 2 or MT-II, is a synthetic cyclic peptide related to alpha-melanocyte-stimulating hormone, or alpha-MSH. Researchers have investigated its effects on pigmentation and sexual responses through melanocortin signalling.</w:t>
      </w:r>
    </w:p>
    <w:p>
      <w:r>
        <w:t>This page brings together receptor research, early human findings and analytical testing guidance. Small experimental studies do not establish long-term safety or validate separately supplied materials.</w:t>
      </w:r>
    </w:p>
    <w:p>
      <w:r>
        <w:t xml:space="preserve">For an introduction to interpreting scientific evidence, visit PEPLAB’s </w:t>
      </w:r>
      <w:hyperlink r:id="rId9">
        <w:r>
          <w:rPr>
            <w:color w:val="146B73"/>
          </w:rPr>
          <w:t>Research Overview</w:t>
        </w:r>
      </w:hyperlink>
      <w:r>
        <w:t>.</w:t>
      </w:r>
    </w:p>
    <w:p>
      <w:pPr>
        <w:pStyle w:val="Heading2"/>
      </w:pPr>
      <w:r>
        <w:t>What Is Melanotan II</w:t>
      </w:r>
    </w:p>
    <w:p>
      <w:r>
        <w:t>Melanotan II is a cyclic heptapeptide, meaning it contains seven amino-acid residues and has a ring-like structural linkage. It was developed as an analogue of alpha-MSH and has been investigated in laboratory experiments and small human trials.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Melanotan II</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Common names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Melanotan 2, Melanotan-II, MT-II, MT-2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cyclic heptapeptide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Mechanism</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Melanocortin receptor agonism</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Pigmentation, receptor pharmacology and sexual responses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Human evidence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Early, small clinical studies</w:t>
            </w:r>
          </w:p>
        </w:tc>
      </w:tr>
    </w:tbl>
    <w:p>
      <w:r>
        <w:t xml:space="preserve">Scientific reference: </w:t>
      </w:r>
      <w:hyperlink r:id="rId10">
        <w:r>
          <w:rPr>
            <w:color w:val="146B73"/>
          </w:rPr>
          <w:t>Dorr and colleagues, Life Sciences, 1996</w:t>
        </w:r>
      </w:hyperlink>
      <w:r>
        <w:t>.</w:t>
      </w:r>
    </w:p>
    <w:p>
      <w:pPr>
        <w:pStyle w:val="Heading2"/>
      </w:pPr>
      <w:r>
        <w:t>How Does Melanotan II Work</w:t>
      </w:r>
    </w:p>
    <w:p>
      <w:pPr>
        <w:pStyle w:val="Heading3"/>
      </w:pPr>
      <w:r>
        <w:t>Melanocortin Receptor Activity</w:t>
      </w:r>
    </w:p>
    <w:p>
      <w:r>
        <w:t>An agonist activates a receptor and produces a biological response. Melanotan II interacts with multiple melanocortin receptor subtypes. A receptor-binding study tested MT-II and related analogues in cells expressing human MC1, MC3, MC4 and MC5 receptors, illustrating why its pharmacology extends beyond a single target.</w:t>
      </w:r>
    </w:p>
    <w:p>
      <w:r/>
      <w:hyperlink r:id="rId11">
        <w:r>
          <w:rPr>
            <w:color w:val="146B73"/>
          </w:rPr>
          <w:t>Read the receptor selectivity study</w:t>
        </w:r>
      </w:hyperlink>
      <w:r>
        <w:t>.</w:t>
      </w:r>
    </w:p>
    <w:p>
      <w:pPr>
        <w:pStyle w:val="Heading3"/>
      </w:pPr>
      <w:r>
        <w:t>Pigmentation Research</w:t>
      </w:r>
    </w:p>
    <w:p>
      <w:r>
        <w:t>Melanocortin signalling participates in melanin production, the process responsible for skin pigmentation. Early human experiments measured changes in skin colour after Melanotan II exposure. A change in pigmentation does not establish protection from ultraviolet radiation or prevention of skin cancer.</w:t>
      </w:r>
    </w:p>
    <w:p>
      <w:pPr>
        <w:pStyle w:val="Heading3"/>
      </w:pPr>
      <w:r>
        <w:t>Sexual Response Research</w:t>
      </w:r>
    </w:p>
    <w:p>
      <w:r>
        <w:t>Researchers also investigated erectile responses in men. These findings concern specific physiological measurements in small study populations. They do not establish a general benefit for libido, sexual wellbeing or all forms of sexual dysfunction.</w:t>
      </w:r>
    </w:p>
    <w:p>
      <w:pPr>
        <w:pStyle w:val="Heading2"/>
      </w:pPr>
      <w:r>
        <w:t>Melanotan II Research Findings</w:t>
      </w:r>
    </w:p>
    <w:p>
      <w:pPr>
        <w:pStyle w:val="Heading3"/>
      </w:pPr>
      <w:r>
        <w:t>Early Human Pigmentation Study</w:t>
      </w:r>
    </w:p>
    <w:p>
      <w:r>
        <w:t>A 1996 pilot Phase 1 study published in Life Sciences included three healthy male volunteers. Two showed increased pigmentation after the study exposures. Researchers also reported nausea, stretching, yawning and spontaneous erections; somnolence and fatigue occurred in one participant at a higher study exposure.</w:t>
      </w:r>
    </w:p>
    <w:p>
      <w:r>
        <w:t>The study provides early evidence of biological activity. Its very small sample and short observation period cannot establish long-term safety or predict individual results.</w:t>
      </w:r>
    </w:p>
    <w:p>
      <w:r/>
      <w:hyperlink r:id="rId10">
        <w:r>
          <w:rPr>
            <w:color w:val="146B73"/>
          </w:rPr>
          <w:t>Read the original Phase 1 study</w:t>
        </w:r>
      </w:hyperlink>
      <w:r>
        <w:t>.</w:t>
      </w:r>
    </w:p>
    <w:p>
      <w:pPr>
        <w:pStyle w:val="Heading3"/>
      </w:pPr>
      <w:r>
        <w:t>Erectile Response Study</w:t>
      </w:r>
    </w:p>
    <w:p>
      <w:r>
        <w:t>A 1998 double-blind, placebo-controlled crossover study in The Journal of Urology enrolled ten men with psychogenic erectile dysfunction. Clinically apparent erections developed in eight participants after Melanotan II. Nausea, yawning, stretching and reduced appetite were reported more frequently with Melanotan II than placebo.</w:t>
      </w:r>
    </w:p>
    <w:p>
      <w:r>
        <w:t>These observations support research into melanocortin-mediated erectile responses. They do not establish an approved treatment or prove that marketed preparations reproduce the trial results.</w:t>
      </w:r>
    </w:p>
    <w:p>
      <w:r/>
      <w:hyperlink r:id="rId12">
        <w:r>
          <w:rPr>
            <w:color w:val="146B73"/>
          </w:rPr>
          <w:t>Read the original crossover study</w:t>
        </w:r>
      </w:hyperlink>
      <w:r>
        <w:t>.</w:t>
      </w:r>
    </w:p>
    <w:p>
      <w:pPr>
        <w:pStyle w:val="Heading3"/>
      </w:pPr>
      <w:r>
        <w:t>Serious Adverse Event Reporting</w:t>
      </w:r>
    </w:p>
    <w:p>
      <w:r>
        <w:t>A 2021 case report in Sexual Medicine described acute ischaemic priapism after Melanotan II injection, requiring surgical management. Priapism is a prolonged erection that can damage tissue.</w:t>
      </w:r>
    </w:p>
    <w:p>
      <w:r>
        <w:t>Case reports identify possible safety signals but cannot determine how frequently an event occurs. They should be considered alongside controlled studies and regulatory safety information.</w:t>
      </w:r>
    </w:p>
    <w:p>
      <w:r/>
      <w:hyperlink r:id="rId13">
        <w:r>
          <w:rPr>
            <w:color w:val="146B73"/>
          </w:rPr>
          <w:t>Read the published case report</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Evidence reviewed</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Receptor pharmacology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Experiments in receptor-expressing cells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Binding does not establish clinical benefit</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Pigmentation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Three-person pilot study</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Short-term findings cannot establish long-term safety</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Erectile responses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Ten-person crossover study</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Results apply to a specific study population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Adverse events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Trial observations and case reports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Reports cannot establish event frequency</w:t>
            </w:r>
          </w:p>
        </w:tc>
      </w:tr>
    </w:tbl>
    <w:p>
      <w:pPr>
        <w:pStyle w:val="Heading2"/>
      </w:pPr>
      <w:r>
        <w:t>Safety and Research Limitations</w:t>
      </w:r>
    </w:p>
    <w:p>
      <w:r>
        <w:t>Human studies reported nausea, yawning and other systemic effects. Published reports also describe serious events, including priapism. Small trials are poorly suited to detecting uncommon harms or assessing repeated, long-term exposure.</w:t>
      </w:r>
    </w:p>
    <w:p>
      <w:r>
        <w:t>The pigmentation pilot study did not establish protection from ultraviolet radiation or prevention of skin cancer. Increased pigmentation should not be interpreted as evidence that additional UV exposure is safe. Published clinical findings relate to the study preparation and do not establish equivalence with separately supplied materials.</w:t>
      </w:r>
    </w:p>
    <w:p>
      <w:pPr>
        <w:pStyle w:val="Heading2"/>
      </w:pPr>
      <w:r>
        <w:t>Understanding Melanotan II Testing and COAs</w:t>
      </w:r>
    </w:p>
    <w:p>
      <w:r>
        <w:t>A Certificate of Analysis describes testing of a submitted sample. Different methods address different properties:</w:t>
      </w:r>
    </w:p>
    <w:p>
      <w:pPr>
        <w:pStyle w:val="ListBullet"/>
      </w:pPr>
      <w:r/>
      <w:r>
        <w:rPr>
          <w:b/>
        </w:rPr>
        <w:t>Chromatographic purity:</w:t>
      </w:r>
      <w:r>
        <w:t xml:space="preserve"> HPLC assesses the relative proportions of detected components under the specified conditions. Purity alone does not verify the amount present.</w:t>
      </w:r>
    </w:p>
    <w:p>
      <w:pPr>
        <w:pStyle w:val="ListBullet"/>
      </w:pPr>
      <w:r/>
      <w:r>
        <w:rPr>
          <w:b/>
        </w:rPr>
        <w:t>Identity assessment:</w:t>
      </w:r>
      <w:r>
        <w:t xml:space="preserve"> Mass spectrometry and suitable complementary methods provide evidence that a sample is consistent with the expected molecule.</w:t>
      </w:r>
    </w:p>
    <w:p>
      <w:pPr>
        <w:pStyle w:val="ListBullet"/>
      </w:pPr>
      <w:r/>
      <w:r>
        <w:rPr>
          <w:b/>
        </w:rPr>
        <w:t>Peptide content:</w:t>
      </w:r>
      <w:r>
        <w:t xml:space="preserve"> A validated quantitative assay measures the amount of the specified peptide in the sample.</w:t>
      </w:r>
    </w:p>
    <w:p>
      <w:r>
        <w:t>Check the compound name, sample or batch identifier, laboratory, testing date, methods and actual results. Only describe a property as tested when the relevant measurement appears on the report. Identity, purity, content, sterility and endotoxin status are separate questions; a COA does not establish clinical safety.</w:t>
      </w:r>
    </w:p>
    <w:p>
      <w:r>
        <w:t xml:space="preserve">Explore PEPLAB’s </w:t>
      </w:r>
      <w:hyperlink r:id="rId14">
        <w:r>
          <w:rPr>
            <w:color w:val="146B73"/>
          </w:rPr>
          <w:t>Quality &amp; Testing</w:t>
        </w:r>
      </w:hyperlink>
      <w:r>
        <w:t xml:space="preserve"> information and </w:t>
      </w:r>
      <w:hyperlink r:id="rId15">
        <w:r>
          <w:rPr>
            <w:color w:val="146B73"/>
          </w:rPr>
          <w:t>COA Results</w:t>
        </w:r>
      </w:hyperlink>
      <w:r>
        <w:t>. Check whether any available report actually covers the material and batch being assessed.</w:t>
      </w:r>
    </w:p>
    <w:p>
      <w:pPr>
        <w:pStyle w:val="Heading2"/>
      </w:pPr>
      <w:r>
        <w:t>Frequently Asked Questions</w:t>
      </w:r>
    </w:p>
    <w:p>
      <w:pPr>
        <w:pStyle w:val="Heading3"/>
      </w:pPr>
      <w:r>
        <w:t>Are Melanotan 2 and Melanotan II the same name</w:t>
      </w:r>
    </w:p>
    <w:p>
      <w:r>
        <w:t>Yes. Melanotan 2, Melanotan II and MT-II commonly refer to the same research compound. Naming alone does not verify a sample’s identity.</w:t>
      </w:r>
    </w:p>
    <w:p>
      <w:pPr>
        <w:pStyle w:val="Heading3"/>
      </w:pPr>
      <w:r>
        <w:t>Is Melanotan II a peptide</w:t>
      </w:r>
    </w:p>
    <w:p>
      <w:r>
        <w:t>Yes. It is a synthetic cyclic peptide containing seven amino-acid residues, developed as an analogue of alpha-MSH.</w:t>
      </w:r>
    </w:p>
    <w:p>
      <w:pPr>
        <w:pStyle w:val="Heading3"/>
      </w:pPr>
      <w:r>
        <w:t>Has Melanotan II been studied in humans</w:t>
      </w:r>
    </w:p>
    <w:p>
      <w:r>
        <w:t>Yes. Published research includes a three-person pigmentation pilot study and a ten-person erectile-response trial. These small studies do not establish long-term safety.</w:t>
      </w:r>
    </w:p>
    <w:p>
      <w:pPr>
        <w:pStyle w:val="Heading3"/>
      </w:pPr>
      <w:r>
        <w:t>Does increased pigmentation mean protection from the sun</w:t>
      </w:r>
    </w:p>
    <w:p>
      <w:r>
        <w:t>No. Melanotan-induced pigmentation is not a substitute for sunscreen or other sun protection, and should not be interpreted as permission for greater UV exposure.</w:t>
      </w:r>
    </w:p>
    <w:p>
      <w:pPr>
        <w:pStyle w:val="Heading3"/>
      </w:pPr>
      <w:r>
        <w:t>Are nasal sprays established as safer than injections</w:t>
      </w:r>
    </w:p>
    <w:p>
      <w:r>
        <w:t>The studies discussed here do not establish the safety of nasal sprays or provide a direct comparison showing they are safer than injections. Findings from one formulation or route cannot automatically be applied to another.</w:t>
      </w:r>
    </w:p>
    <w:p>
      <w:pPr>
        <w:pStyle w:val="Heading3"/>
      </w:pPr>
      <w:r>
        <w:t>Does a high purity result prove a product is safe</w:t>
      </w:r>
    </w:p>
    <w:p>
      <w:r>
        <w:t>No. A chromatographic purity result does not establish content, sterility, absence of endotoxins, clinical safety.</w:t>
      </w:r>
    </w:p>
    <w:p>
      <w:pPr>
        <w:pStyle w:val="Heading3"/>
      </w:pPr>
      <w:r>
        <w:t>Where can I find Melanotan II research papers</w:t>
      </w:r>
    </w:p>
    <w:p>
      <w:r>
        <w:t>Use the original publication links on this page. Search Melanotan II or MT-II on PubMed, checking the exact compound, study population and outcome before drawing conclusions.</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research pages.</w:t>
      </w:r>
    </w:p>
    <w:p>
      <w:r/>
      <w:r>
        <w:rPr>
          <w:b/>
        </w:rPr>
        <w:t>Buttons:</w:t>
      </w:r>
      <w:r>
        <w:t xml:space="preserve"> Research Overview | Find Your Compound</w:t>
      </w:r>
    </w:p>
    <w:p>
      <w:r>
        <w:t>WEBSITE COPY END</w:t>
      </w:r>
    </w:p>
    <w:p>
      <w:r>
        <w:br w:type="page"/>
      </w:r>
    </w:p>
    <w:p>
      <w:pPr>
        <w:pStyle w:val="Heading1"/>
      </w:pPr>
      <w:r>
        <w:t>3 Developer and editorial notes</w:t>
      </w:r>
    </w:p>
    <w:p>
      <w:pPr>
        <w:pStyle w:val="Heading2"/>
      </w:pPr>
      <w:r>
        <w:t>SEO and AI search implementation</w:t>
      </w:r>
    </w:p>
    <w:p>
      <w:pPr>
        <w:pStyle w:val="ListBullet"/>
      </w:pPr>
      <w:r>
        <w:t>Use the suggested URL only if it fits the existing route convention. Set the final canonical URL and add the published page to the sitemap.</w:t>
      </w:r>
    </w:p>
    <w:p>
      <w:pPr>
        <w:pStyle w:val="ListBullet"/>
      </w:pPr>
      <w:r>
        <w:t>Use Melanotan II as the consistent scientific name and introduce Melanotan 2 and MT-II naturally. Avoid repetitive keyword lists in the visible article.</w:t>
      </w:r>
    </w:p>
    <w:p>
      <w:pPr>
        <w:pStyle w:val="ListBullet"/>
      </w:pPr>
      <w:r>
        <w:t>Keep the article, tables, FAQs and references crawlable as HTML. Check indexing eligibility and rendered content in Search Console.</w:t>
      </w:r>
    </w:p>
    <w:p>
      <w:pPr>
        <w:pStyle w:val="ListBullet"/>
      </w:pPr>
      <w:r>
        <w:t>Use accurate Article and BreadcrumbList structured data if supported by the site. Markup must match visible content. Do not invent ratings, authors, credentials or review dates.</w:t>
      </w:r>
    </w:p>
    <w:p>
      <w:pPr>
        <w:pStyle w:val="ListBullet"/>
      </w:pPr>
      <w:r>
        <w:t>Google does not require special AI markup for AI Overviews or AI Mode. Clear evidence-linked answers support readers and retrieval; rankings and AI citations are not guaranteed.</w:t>
      </w:r>
    </w:p>
    <w:p>
      <w:pPr>
        <w:pStyle w:val="ListBullet"/>
      </w:pPr>
      <w:r>
        <w:t>Display real authorship and an actual publication or review date. Only claim medical review when it has taken place.</w:t>
      </w:r>
    </w:p>
    <w:p>
      <w:r/>
      <w:hyperlink r:id="rId16">
        <w:r>
          <w:rPr>
            <w:color w:val="146B73"/>
          </w:rPr>
          <w:t>Google guidance on AI features and websites</w:t>
        </w:r>
      </w:hyperlink>
      <w:r/>
    </w:p>
    <w:p>
      <w:pPr>
        <w:pStyle w:val="Heading2"/>
      </w:pPr>
      <w:r>
        <w:t>Links and factual checks</w:t>
      </w:r>
    </w:p>
    <w:p>
      <w:r>
        <w:t>Confirm the Research Overview destination and reuse the existing Find Your Compound target. Verify the Quality &amp; Testing and COA routes before launch. These links do not imply that a Melanotan II batch report exists.</w:t>
      </w:r>
    </w:p>
    <w:p>
      <w:r>
        <w:t>Do not add a vial size, purity percentage, batch number, shelf life, storage claim or analytical result without product-specific documentation. Retain study sample sizes, adverse-event context and the distinction between trial preparations and other materials.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8637402/" TargetMode="External"/><Relationship Id="rId11" Type="http://schemas.openxmlformats.org/officeDocument/2006/relationships/hyperlink" Target="https://pubmed.ncbi.nlm.nih.gov/9357059/" TargetMode="External"/><Relationship Id="rId12" Type="http://schemas.openxmlformats.org/officeDocument/2006/relationships/hyperlink" Target="https://pubmed.ncbi.nlm.nih.gov/9679884/" TargetMode="External"/><Relationship Id="rId13" Type="http://schemas.openxmlformats.org/officeDocument/2006/relationships/hyperlink" Target="https://pubmed.ncbi.nlm.nih.gov/33460908/" TargetMode="External"/><Relationship Id="rId14" Type="http://schemas.openxmlformats.org/officeDocument/2006/relationships/hyperlink" Target="https://peplab.com.au/standards" TargetMode="External"/><Relationship Id="rId15" Type="http://schemas.openxmlformats.org/officeDocument/2006/relationships/hyperlink" Target="https://peplab.com.au/coa"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Melanotan II Developer Handoff</dc:title>
  <dc:subject>Melanotan 2 research page and SEO implementation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