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PEPLAB NAD+</w:t>
      </w:r>
    </w:p>
    <w:p>
      <w:r>
        <w:t>Website developer handoff</w:t>
      </w:r>
    </w:p>
    <w:p>
      <w:r>
        <w:t>Build this research page using the existing Retatrutide layout. This document contains SEO fields, complete page copy with clickable study references, and implementation notes. Publish only section 2 as the article.</w:t>
      </w:r>
    </w:p>
    <w:p>
      <w:pPr>
        <w:pStyle w:val="Heading2"/>
      </w:pPr>
      <w:r>
        <w:t>1 SEO settings</w:t>
      </w:r>
    </w:p>
    <w:p>
      <w:pPr>
        <w:pStyle w:val="ListBullet"/>
      </w:pPr>
      <w:r/>
      <w:r>
        <w:rPr>
          <w:b/>
        </w:rPr>
        <w:t>Title tag:</w:t>
      </w:r>
      <w:r>
        <w:t xml:space="preserve"> NAD+ Research: Cellular Energy &amp; Metabolism | PEPLAB</w:t>
      </w:r>
    </w:p>
    <w:p>
      <w:pPr>
        <w:pStyle w:val="ListBullet"/>
      </w:pPr>
      <w:r/>
      <w:r>
        <w:rPr>
          <w:b/>
        </w:rPr>
        <w:t>Meta description:</w:t>
      </w:r>
      <w:r>
        <w:t xml:space="preserve"> Explore NAD+ research on cellular metabolism, redox reactions and human infusion studies, with clear distinctions from NR and NMN precursor research.</w:t>
      </w:r>
    </w:p>
    <w:p>
      <w:pPr>
        <w:pStyle w:val="ListBullet"/>
      </w:pPr>
      <w:r/>
      <w:r>
        <w:rPr>
          <w:b/>
        </w:rPr>
        <w:t>Suggested URL:</w:t>
      </w:r>
      <w:r>
        <w:t xml:space="preserve"> https://peplab.com.au/research/compounds/nad-plus</w:t>
      </w:r>
    </w:p>
    <w:p>
      <w:pPr>
        <w:pStyle w:val="ListBullet"/>
      </w:pPr>
      <w:r/>
      <w:r>
        <w:rPr>
          <w:b/>
        </w:rPr>
        <w:t>Primary topic:</w:t>
      </w:r>
      <w:r>
        <w:t xml:space="preserve"> NAD+ research</w:t>
      </w:r>
    </w:p>
    <w:p>
      <w:r>
        <w:br w:type="page"/>
      </w:r>
    </w:p>
    <w:p>
      <w:r>
        <w:t>2 WEBSITE COPY START</w:t>
      </w:r>
    </w:p>
    <w:p>
      <w:r>
        <w:t>COENZYMES / CELLULAR METABOLISM</w:t>
      </w:r>
    </w:p>
    <w:p>
      <w:pPr>
        <w:pStyle w:val="Heading1"/>
      </w:pPr>
      <w:r>
        <w:t>NAD+ Research Overview</w:t>
      </w:r>
    </w:p>
    <w:p>
      <w:pPr>
        <w:pStyle w:val="Heading2"/>
      </w:pPr>
      <w:r>
        <w:t>Nicotinamide Adenine Dinucleotide and Energy Research</w:t>
      </w:r>
    </w:p>
    <w:p>
      <w:r>
        <w:t>NAD+ is the oxidised form of nicotinamide adenine dinucleotide, a coenzyme involved in cellular metabolism and enzyme reactions. It is not a peptide. Research examines NAD+ biology, ways of changing NAD-related metabolites and the effects of specific preparations. Its essential role in cells does not establish that administering extra NAD+ improves energy, cognition or lifespan.</w:t>
      </w:r>
    </w:p>
    <w:p>
      <w:r>
        <w:t xml:space="preserve">For guidance on study design and analytical evidence, visit PEPLAB’s </w:t>
      </w:r>
      <w:hyperlink r:id="rId9">
        <w:r>
          <w:rPr>
            <w:color w:val="146B73"/>
          </w:rPr>
          <w:t>Research Overview</w:t>
        </w:r>
      </w:hyperlink>
      <w:r>
        <w:t>.</w:t>
      </w:r>
    </w:p>
    <w:p>
      <w:pPr>
        <w:pStyle w:val="Heading2"/>
      </w:pPr>
      <w:r>
        <w:t>What Is NAD+?</w:t>
      </w:r>
    </w:p>
    <w:p>
      <w:r>
        <w:t>NAD+ participates in the transfer of electrons during metabolic reactions and is converted to NADH in its reduced state. It is also consumed by several enzyme systems. Research on NAD+ itself must be distinguished from work on nicotinamide riboside, or NR, and nicotinamide mononucleotide, or NMN, which are different molecules used in NAD biosynthesis.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344"/>
      </w:tblGrid>
      <w:tr>
        <w:trPr>
          <w:cantSplit/>
          <w:tblHeader/>
        </w:trPr>
        <w:tc>
          <w:tcPr>
            <w:tcW w:type="dxa" w:w="2880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type="dxa" w:w="7344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Details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Compound name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Nicotinamide adenine dinucleotide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Common abbreviation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NAD+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Compound type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Dinucleotide coenzyme; not a peptide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Redox partner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NADH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Research areas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Metabolism, NAD turnover and ageing-related biology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Evidence base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Extensive biological research; preparation-specific human studies and a separate precursor literature</w:t>
            </w:r>
          </w:p>
        </w:tc>
      </w:tr>
    </w:tbl>
    <w:p>
      <w:pPr>
        <w:pStyle w:val="Heading2"/>
      </w:pPr>
      <w:r>
        <w:t>How Does NAD+ Work?</w:t>
      </w:r>
    </w:p>
    <w:p>
      <w:pPr>
        <w:pStyle w:val="Heading3"/>
      </w:pPr>
      <w:r>
        <w:t>Redox Reactions</w:t>
      </w:r>
    </w:p>
    <w:p>
      <w:r>
        <w:t>The NAD+/NADH pair participates in electron transfer that supports cellular metabolism. This biochemical role should not be confused with a measured increase in a person’s energy or endurance.</w:t>
      </w:r>
    </w:p>
    <w:p>
      <w:pPr>
        <w:pStyle w:val="Heading3"/>
      </w:pPr>
      <w:r>
        <w:t>Enzyme Substrate</w:t>
      </w:r>
    </w:p>
    <w:p>
      <w:r>
        <w:t>NAD+ is used by enzymes involved in cellular signalling and maintenance, including sirtuins and PARPs. Demonstrating this role does not show that more NAD+ always improves function.</w:t>
      </w:r>
    </w:p>
    <w:p>
      <w:pPr>
        <w:pStyle w:val="Heading3"/>
      </w:pPr>
      <w:r>
        <w:t>Turnover and Delivery</w:t>
      </w:r>
    </w:p>
    <w:p>
      <w:r>
        <w:t>Researchers track how supplied NAD+ is metabolised and cleared. Route, formulation and the chemical species measured influence how study results should be interpreted.</w:t>
      </w:r>
    </w:p>
    <w:p>
      <w:pPr>
        <w:pStyle w:val="Heading2"/>
      </w:pPr>
      <w:r>
        <w:t>NAD+ Research Findings</w:t>
      </w:r>
    </w:p>
    <w:p>
      <w:pPr>
        <w:pStyle w:val="Heading3"/>
      </w:pPr>
      <w:r>
        <w:t>Human NAD+ Infusion Research</w:t>
      </w:r>
    </w:p>
    <w:p>
      <w:r>
        <w:t>A 2019 pilot study measured NAD+ and related metabolites during a six-hour intravenous infusion. It included eight participants receiving NAD+ and three controls. The study described metabolic handling of the infusion; it was not a trial demonstrating improved fatigue, cognition, addiction recovery or lifespan.</w:t>
      </w:r>
    </w:p>
    <w:p>
      <w:r/>
      <w:hyperlink r:id="rId10">
        <w:r>
          <w:rPr>
            <w:color w:val="146B73"/>
          </w:rPr>
          <w:t>Read the NAD+ metabolome pilot study</w:t>
        </w:r>
      </w:hyperlink>
      <w:r>
        <w:t>.</w:t>
      </w:r>
    </w:p>
    <w:p>
      <w:pPr>
        <w:pStyle w:val="Heading3"/>
      </w:pPr>
      <w:r>
        <w:t>Related NR Research</w:t>
      </w:r>
    </w:p>
    <w:p>
      <w:r>
        <w:t>A 2018 randomised crossover study investigated nicotinamide riboside in middle-aged and older adults and reported increased NAD-related availability. It tested NR, not direct NAD+ administration. It is useful background on the pathway but cannot validate a NAD+ vial or another delivery route.</w:t>
      </w:r>
    </w:p>
    <w:p>
      <w:r/>
      <w:hyperlink r:id="rId11">
        <w:r>
          <w:rPr>
            <w:color w:val="146B73"/>
          </w:rPr>
          <w:t>Read the NR study</w:t>
        </w:r>
      </w:hyperlink>
      <w:r>
        <w:t>.</w:t>
      </w:r>
    </w:p>
    <w:p>
      <w:pPr>
        <w:pStyle w:val="Heading3"/>
      </w:pPr>
      <w:r>
        <w:t>Biomarkers Versus Clinical Outcomes</w:t>
      </w:r>
    </w:p>
    <w:p>
      <w:r>
        <w:t>Another 2018 NR trial in men with obesity did not show improved insulin sensitivity under the studied regimen. This illustrates why a precursor’s biochemical rationale should not be converted into a general clinical claim, and why different NAD-related preparations require their own evidence.</w:t>
      </w:r>
    </w:p>
    <w:p>
      <w:r/>
      <w:hyperlink r:id="rId12">
        <w:r>
          <w:rPr>
            <w:color w:val="146B73"/>
          </w:rPr>
          <w:t>Read the metabolic NR trial</w:t>
        </w:r>
      </w:hyperlink>
      <w:r>
        <w:t>.</w:t>
      </w:r>
    </w:p>
    <w:p>
      <w:pPr>
        <w:pStyle w:val="Heading2"/>
      </w:pPr>
      <w:r>
        <w:t>Research Findings at a Glance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4032"/>
        <w:gridCol w:w="4392"/>
      </w:tblGrid>
      <w:tr>
        <w:trPr>
          <w:cantSplit/>
          <w:tblHeader/>
        </w:trPr>
        <w:tc>
          <w:tcPr>
            <w:tcW w:type="dxa" w:w="1800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Research area</w:t>
            </w:r>
          </w:p>
        </w:tc>
        <w:tc>
          <w:tcPr>
            <w:tcW w:type="dxa" w:w="4032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What studies have investigated</w:t>
            </w:r>
          </w:p>
        </w:tc>
        <w:tc>
          <w:tcPr>
            <w:tcW w:type="dxa" w:w="4392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Important distinction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Direct NAD+ administration</w:t>
            </w:r>
          </w:p>
        </w:tc>
        <w:tc>
          <w:tcPr>
            <w:tcW w:type="dxa" w:w="40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Metabolite handling in a small infusion study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Not proof of broad wellness benefits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NR and NMN</w:t>
            </w:r>
          </w:p>
        </w:tc>
        <w:tc>
          <w:tcPr>
            <w:tcW w:type="dxa" w:w="40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Related precursor research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Different molecules from NAD+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Ageing biology</w:t>
            </w:r>
          </w:p>
        </w:tc>
        <w:tc>
          <w:tcPr>
            <w:tcW w:type="dxa" w:w="40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Cellular pathways associated with NAD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Does not establish human lifespan extension</w:t>
            </w:r>
          </w:p>
        </w:tc>
      </w:tr>
    </w:tbl>
    <w:p>
      <w:pPr>
        <w:pStyle w:val="Heading2"/>
      </w:pPr>
      <w:r>
        <w:t>Safety and Research Limitations</w:t>
      </w:r>
    </w:p>
    <w:p>
      <w:r>
        <w:t>The small direct-infusion pilot cannot establish long-term safety or effectiveness for broad wellness claims. Evidence for one delivery route cannot be transferred to another, and precursor trials cannot be treated as trials of direct NAD+. A material’s role in normal metabolism does not establish that a separately prepared product is suitable for personal administration.</w:t>
      </w:r>
    </w:p>
    <w:p>
      <w:r>
        <w:t>This page summarises scientific evidence and does not provide instructions for personal use.</w:t>
      </w:r>
    </w:p>
    <w:p>
      <w:pPr>
        <w:pStyle w:val="Heading2"/>
      </w:pPr>
      <w:r>
        <w:t>Understanding NAD+ Testing and COAs</w:t>
      </w:r>
    </w:p>
    <w:p>
      <w:r>
        <w:t>Analytical methods answer different questions. A Certificate of Analysis should identify the submitted sample and report the actual measurements performed.</w:t>
      </w:r>
    </w:p>
    <w:p>
      <w:pPr>
        <w:pStyle w:val="ListBullet"/>
      </w:pPr>
      <w:r/>
      <w:r>
        <w:rPr>
          <w:b/>
        </w:rPr>
        <w:t>Purity:</w:t>
      </w:r>
      <w:r>
        <w:t xml:space="preserve"> Chromatographic testing measures detected components under specified conditions; a percentage alone does not establish vial content.</w:t>
      </w:r>
    </w:p>
    <w:p>
      <w:pPr>
        <w:pStyle w:val="ListBullet"/>
      </w:pPr>
      <w:r/>
      <w:r>
        <w:rPr>
          <w:b/>
        </w:rPr>
        <w:t>Identity:</w:t>
      </w:r>
      <w:r>
        <w:t xml:space="preserve"> Appropriate methods, such as mass spectrometry with complementary analysis where needed, assess consistency with the stated material.</w:t>
      </w:r>
    </w:p>
    <w:p>
      <w:pPr>
        <w:pStyle w:val="ListBullet"/>
      </w:pPr>
      <w:r/>
      <w:r>
        <w:rPr>
          <w:b/>
        </w:rPr>
        <w:t>Content:</w:t>
      </w:r>
      <w:r>
        <w:t xml:space="preserve"> A validated quantitative assay measures the amount of the specified analyte or each blend component.</w:t>
      </w:r>
    </w:p>
    <w:p>
      <w:r>
        <w:t>For NAD+, confirm the oxidised chemical form, any salt form, assay basis and stability-related impurities. An assay should distinguish NAD+ from NADH and relevant breakdown products where required by the study. Report content as NAD+ on a clearly stated basis rather than treating every powder mass as active coenzyme.</w:t>
      </w:r>
    </w:p>
    <w:p>
      <w:r>
        <w:t xml:space="preserve">Purity does not establish sterility, endotoxin status or clinical effectiveness. Explore PEPLAB’s </w:t>
      </w:r>
      <w:hyperlink r:id="rId13">
        <w:r>
          <w:rPr>
            <w:color w:val="146B73"/>
          </w:rPr>
          <w:t>Quality &amp; Testing</w:t>
        </w:r>
      </w:hyperlink>
      <w:r>
        <w:t xml:space="preserve"> information and available </w:t>
      </w:r>
      <w:hyperlink r:id="rId14">
        <w:r>
          <w:rPr>
            <w:color w:val="146B73"/>
          </w:rPr>
          <w:t>COA Results</w:t>
        </w:r>
      </w:hyperlink>
      <w:r>
        <w:t>, checking whether a report covers the material and batch being assessed.</w:t>
      </w:r>
    </w:p>
    <w:p>
      <w:pPr>
        <w:pStyle w:val="Heading2"/>
      </w:pPr>
      <w:r>
        <w:t>Frequently Asked Questions</w:t>
      </w:r>
    </w:p>
    <w:p>
      <w:pPr>
        <w:pStyle w:val="Heading3"/>
      </w:pPr>
      <w:r>
        <w:t>Is NAD+ a peptide?</w:t>
      </w:r>
    </w:p>
    <w:p>
      <w:r>
        <w:t>No. It is a dinucleotide coenzyme. It should be categorised separately from peptide compounds.</w:t>
      </w:r>
    </w:p>
    <w:p>
      <w:pPr>
        <w:pStyle w:val="Heading3"/>
      </w:pPr>
      <w:r>
        <w:t>What is the difference between NAD+ and NADH?</w:t>
      </w:r>
    </w:p>
    <w:p>
      <w:r>
        <w:t>NAD+ is the oxidised form and NADH is the reduced form. They participate in related electron-transfer reactions but are different chemical states.</w:t>
      </w:r>
    </w:p>
    <w:p>
      <w:pPr>
        <w:pStyle w:val="Heading3"/>
      </w:pPr>
      <w:r>
        <w:t>Is NAD+ the same as NMN or NR?</w:t>
      </w:r>
    </w:p>
    <w:p>
      <w:r>
        <w:t>No. NMN and NR are distinct precursor molecules involved in pathways that can produce NAD+. Their studies do not directly validate NAD+ preparations.</w:t>
      </w:r>
    </w:p>
    <w:p>
      <w:pPr>
        <w:pStyle w:val="Heading3"/>
      </w:pPr>
      <w:r>
        <w:t>Does NAD+ give an immediate energy boost?</w:t>
      </w:r>
    </w:p>
    <w:p>
      <w:r>
        <w:t>The pilot study discussed here measured metabolites, not a reliable immediate energy benefit. Biochemical participation in metabolism is not the same as proven symptom improvement.</w:t>
      </w:r>
    </w:p>
    <w:p>
      <w:pPr>
        <w:pStyle w:val="Heading3"/>
      </w:pPr>
      <w:r>
        <w:t>Does NAD+ research show anti-ageing benefits?</w:t>
      </w:r>
    </w:p>
    <w:p>
      <w:r>
        <w:t>Ageing-related biology is a research area, but the cited direct NAD+ study did not demonstrate longer lifespan or reversal of ageing in humans.</w:t>
      </w:r>
    </w:p>
    <w:p>
      <w:pPr>
        <w:pStyle w:val="Heading3"/>
      </w:pPr>
      <w:r>
        <w:t>What should a NAD+ COA report?</w:t>
      </w:r>
    </w:p>
    <w:p>
      <w:r>
        <w:t>The report should identify the chemical form, quantitative content and relevant impurities or degradation products using suitable methods. Purity alone does not establish clinical suitability.</w:t>
      </w:r>
    </w:p>
    <w:p>
      <w:pPr>
        <w:pStyle w:val="Heading3"/>
      </w:pPr>
      <w:r>
        <w:t>Where can I find NAD+ research papers?</w:t>
      </w:r>
    </w:p>
    <w:p>
      <w:r>
        <w:t>Start with the original-study links above. Check the molecule, formulation, study population and measured outcomes before applying a finding to another preparation.</w:t>
      </w:r>
    </w:p>
    <w:p>
      <w:pPr>
        <w:pStyle w:val="Heading2"/>
      </w:pPr>
      <w:r>
        <w:t>Explore PEPLAB Research</w:t>
      </w:r>
    </w:p>
    <w:p>
      <w:r>
        <w:t xml:space="preserve">Visit our </w:t>
      </w:r>
      <w:hyperlink r:id="rId9">
        <w:r>
          <w:rPr>
            <w:color w:val="146B73"/>
          </w:rPr>
          <w:t>Research Overview</w:t>
        </w:r>
      </w:hyperlink>
      <w:r>
        <w:t xml:space="preserve"> for guidance on scientific evidence and laboratory testing. Select Find Your Compound to explore other compound-specific research pages.</w:t>
      </w:r>
    </w:p>
    <w:p>
      <w:r>
        <w:t xml:space="preserve">Related research: </w:t>
      </w:r>
      <w:hyperlink r:id="rId15">
        <w:r>
          <w:rPr>
            <w:color w:val="146B73"/>
          </w:rPr>
          <w:t>MOTS-C</w:t>
        </w:r>
      </w:hyperlink>
      <w:r>
        <w:t xml:space="preserve"> · </w:t>
      </w:r>
      <w:hyperlink r:id="rId16">
        <w:r>
          <w:rPr>
            <w:color w:val="146B73"/>
          </w:rPr>
          <w:t>SS-31</w:t>
        </w:r>
      </w:hyperlink>
      <w:r>
        <w:t xml:space="preserve"> · </w:t>
      </w:r>
      <w:hyperlink r:id="rId17">
        <w:r>
          <w:rPr>
            <w:color w:val="146B73"/>
          </w:rPr>
          <w:t>Glutathione</w:t>
        </w:r>
      </w:hyperlink>
      <w:r>
        <w:t>.</w:t>
      </w:r>
    </w:p>
    <w:p>
      <w:r/>
      <w:r>
        <w:rPr>
          <w:b/>
        </w:rPr>
        <w:t>Buttons:</w:t>
      </w:r>
      <w:r>
        <w:t xml:space="preserve"> Research Overview | Find Your Compound</w:t>
      </w:r>
    </w:p>
    <w:p>
      <w:r>
        <w:t>WEBSITE COPY END</w:t>
      </w:r>
    </w:p>
    <w:p>
      <w:r>
        <w:br w:type="page"/>
      </w:r>
    </w:p>
    <w:p>
      <w:pPr>
        <w:pStyle w:val="Heading2"/>
      </w:pPr>
      <w:r>
        <w:t>3 Developer and editorial notes</w:t>
      </w:r>
    </w:p>
    <w:p>
      <w:pPr>
        <w:pStyle w:val="Heading2"/>
      </w:pPr>
      <w:r>
        <w:t>SEO and AI search implementation</w:t>
      </w:r>
    </w:p>
    <w:p>
      <w:pPr>
        <w:pStyle w:val="ListBullet"/>
      </w:pPr>
      <w:r>
        <w:t>Match the Retatrutide research page layout and use one H1. Preserve H2 sections, H3 subsections, tables and visible FAQs.</w:t>
      </w:r>
    </w:p>
    <w:p>
      <w:pPr>
        <w:pStyle w:val="ListBullet"/>
      </w:pPr>
      <w:r>
        <w:t>Set the final canonical URL, include the published page in the sitemap and link it from the research hub.</w:t>
      </w:r>
    </w:p>
    <w:p>
      <w:pPr>
        <w:pStyle w:val="ListBullet"/>
      </w:pPr>
      <w:r>
        <w:t>Keep the full article crawlable as HTML, including FAQs and references. Check indexing eligibility and rendered content in Search Console.</w:t>
      </w:r>
    </w:p>
    <w:p>
      <w:pPr>
        <w:pStyle w:val="ListBullet"/>
      </w:pPr>
      <w:r>
        <w:t>Use accurate Article and BreadcrumbList structured data when supported. Match markup to visible content and actual authorship; do not invent credentials or reviews.</w:t>
      </w:r>
    </w:p>
    <w:p>
      <w:pPr>
        <w:pStyle w:val="ListBullet"/>
      </w:pPr>
      <w:r>
        <w:t>Keep research references next to claims and distinguish biological mechanisms from demonstrated clinical outcomes. Google does not require special AI schema for AI Overviews or AI Mode; search rankings and AI citations are not guaranteed.</w:t>
      </w:r>
    </w:p>
    <w:p>
      <w:pPr>
        <w:pStyle w:val="ListBullet"/>
      </w:pPr>
      <w:r>
        <w:t>Show an actual publication or review date. Only credit a medical reviewer if that review has taken place.</w:t>
      </w:r>
    </w:p>
    <w:p>
      <w:r/>
      <w:hyperlink r:id="rId18">
        <w:r>
          <w:rPr>
            <w:color w:val="146B73"/>
          </w:rPr>
          <w:t>Google guidance on AI features and websites</w:t>
        </w:r>
      </w:hyperlink>
      <w:r/>
    </w:p>
    <w:p>
      <w:pPr>
        <w:pStyle w:val="Heading2"/>
      </w:pPr>
      <w:r>
        <w:t>Links and product details</w:t>
      </w:r>
    </w:p>
    <w:p>
      <w:r>
        <w:t>Confirm the Research Overview destination and reuse the existing Find Your Compound target. Verify the Quality &amp; Testing and COA routes. Enable related compound links only after their pages exist.</w:t>
      </w:r>
    </w:p>
    <w:p>
      <w:r>
        <w:t>Do not add purity percentages, batch numbers, vial quantities, shelf life or storage claims without supporting product documentation. A link to the COA directory does not imply that a matching batch report is available.</w:t>
      </w:r>
    </w:p>
    <w:p>
      <w:pPr>
        <w:pStyle w:val="Heading2"/>
      </w:pPr>
      <w:r>
        <w:t>Evidence distinction</w:t>
      </w:r>
    </w:p>
    <w:p>
      <w:r>
        <w:t>Categorise NAD+ as a coenzyme, not a peptide. Keep NR and NMN research clearly identified as precursor research, rather than evidence for direct NAD+ administration.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eplab.com.au/research" TargetMode="External"/><Relationship Id="rId10" Type="http://schemas.openxmlformats.org/officeDocument/2006/relationships/hyperlink" Target="https://pubmed.ncbi.nlm.nih.gov/31572171/" TargetMode="External"/><Relationship Id="rId11" Type="http://schemas.openxmlformats.org/officeDocument/2006/relationships/hyperlink" Target="https://pubmed.ncbi.nlm.nih.gov/29599478/" TargetMode="External"/><Relationship Id="rId12" Type="http://schemas.openxmlformats.org/officeDocument/2006/relationships/hyperlink" Target="https://pubmed.ncbi.nlm.nih.gov/29992272/" TargetMode="External"/><Relationship Id="rId13" Type="http://schemas.openxmlformats.org/officeDocument/2006/relationships/hyperlink" Target="https://peplab.com.au/standards" TargetMode="External"/><Relationship Id="rId14" Type="http://schemas.openxmlformats.org/officeDocument/2006/relationships/hyperlink" Target="https://peplab.com.au/coa" TargetMode="External"/><Relationship Id="rId15" Type="http://schemas.openxmlformats.org/officeDocument/2006/relationships/hyperlink" Target="https://peplab.com.au/research/compounds/mots-c" TargetMode="External"/><Relationship Id="rId16" Type="http://schemas.openxmlformats.org/officeDocument/2006/relationships/hyperlink" Target="https://peplab.com.au/research/compounds/ss-31" TargetMode="External"/><Relationship Id="rId17" Type="http://schemas.openxmlformats.org/officeDocument/2006/relationships/hyperlink" Target="https://peplab.com.au/research/compounds/glutathione" TargetMode="External"/><Relationship Id="rId18" Type="http://schemas.openxmlformats.org/officeDocument/2006/relationships/hyperlink" Target="https://developers.google.com/search/docs/appearance/ai-featur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PEPLAB NAD+ Developer Handoff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