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SS-31</w:t>
      </w:r>
    </w:p>
    <w:p>
      <w:r>
        <w:t>Website developer handoff</w:t>
      </w:r>
    </w:p>
    <w:p>
      <w:r>
        <w:t>Build this research page using the existing Retatrutide layout. This document contains SEO fields, complete page copy with clickable study references, and implementation notes. Publish only section 2 as the article.</w:t>
      </w:r>
    </w:p>
    <w:p>
      <w:pPr>
        <w:pStyle w:val="Heading2"/>
      </w:pPr>
      <w:r>
        <w:t>1 SEO settings</w:t>
      </w:r>
    </w:p>
    <w:p>
      <w:pPr>
        <w:pStyle w:val="ListBullet"/>
      </w:pPr>
      <w:r/>
      <w:r>
        <w:rPr>
          <w:b/>
        </w:rPr>
        <w:t>Title tag:</w:t>
      </w:r>
      <w:r>
        <w:t xml:space="preserve"> SS-31 Research: Elamipretide &amp; Mitochondria | PEPLAB</w:t>
      </w:r>
    </w:p>
    <w:p>
      <w:pPr>
        <w:pStyle w:val="ListBullet"/>
      </w:pPr>
      <w:r/>
      <w:r>
        <w:rPr>
          <w:b/>
        </w:rPr>
        <w:t>Meta description:</w:t>
      </w:r>
      <w:r>
        <w:t xml:space="preserve"> Explore SS-31 (elamipretide) research on mitochondrial function, clinical trial findings and the specific US Barth syndrome approval, with COA guidance.</w:t>
      </w:r>
    </w:p>
    <w:p>
      <w:pPr>
        <w:pStyle w:val="ListBullet"/>
      </w:pPr>
      <w:r/>
      <w:r>
        <w:rPr>
          <w:b/>
        </w:rPr>
        <w:t>Suggested URL:</w:t>
      </w:r>
      <w:r>
        <w:t xml:space="preserve"> https://peplab.com.au/research/compounds/ss-31</w:t>
      </w:r>
    </w:p>
    <w:p>
      <w:pPr>
        <w:pStyle w:val="ListBullet"/>
      </w:pPr>
      <w:r/>
      <w:r>
        <w:rPr>
          <w:b/>
        </w:rPr>
        <w:t>Primary topic:</w:t>
      </w:r>
      <w:r>
        <w:t xml:space="preserve"> SS-31 research</w:t>
      </w:r>
    </w:p>
    <w:p>
      <w:r>
        <w:br w:type="page"/>
      </w:r>
    </w:p>
    <w:p>
      <w:r>
        <w:t>2 WEBSITE COPY START</w:t>
      </w:r>
    </w:p>
    <w:p>
      <w:r>
        <w:t>MITOCHONDRIAL / TETRAPEPTIDES</w:t>
      </w:r>
    </w:p>
    <w:p>
      <w:pPr>
        <w:pStyle w:val="Heading1"/>
      </w:pPr>
      <w:r>
        <w:t>SS-31 Research Overview</w:t>
      </w:r>
    </w:p>
    <w:p>
      <w:pPr>
        <w:pStyle w:val="Heading2"/>
      </w:pPr>
      <w:r>
        <w:t>Elamipretide and Mitochondrial Membrane Research</w:t>
      </w:r>
    </w:p>
    <w:p>
      <w:r>
        <w:t>SS-31, also known as elamipretide, is a synthetic tetrapeptide investigated for its effects on mitochondrial function. Its research includes human trials in mitochondrial disease and a specific US medicinal approval for Barth syndrome. These findings do not establish general anti-ageing benefits or equivalence between an authorised medicine and other SS-31 materials.</w:t>
      </w:r>
    </w:p>
    <w:p>
      <w:r>
        <w:t xml:space="preserve">For guidance on study design and analytical evidence, visit PEPLAB’s </w:t>
      </w:r>
      <w:hyperlink r:id="rId9">
        <w:r>
          <w:rPr>
            <w:color w:val="146B73"/>
          </w:rPr>
          <w:t>Research Overview</w:t>
        </w:r>
      </w:hyperlink>
      <w:r>
        <w:t>.</w:t>
      </w:r>
    </w:p>
    <w:p>
      <w:pPr>
        <w:pStyle w:val="Heading2"/>
      </w:pPr>
      <w:r>
        <w:t>What Is SS-31?</w:t>
      </w:r>
    </w:p>
    <w:p>
      <w:r>
        <w:t>Elamipretide is a mitochondria-targeting peptide associated with cardiolipin, a lipid in the inner mitochondrial membrane. That membrane supports processes involved in cellular energy production. Clinical research asks whether effects on mitochondrial biology translate into meaningful benefits in particular diseases, rather than assuming that a mitochondrial target guarantees an energy benefit.</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Elamipretide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names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SS-31; MTP-131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Synthetic tetrapeptide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Peptide length</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Four amino acids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focus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Inner mitochondrial membrane and cardiolipin-associated function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Evidence base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Preclinical studies, randomised human trials and a specific US medicinal approval</w:t>
            </w:r>
          </w:p>
        </w:tc>
      </w:tr>
    </w:tbl>
    <w:p>
      <w:pPr>
        <w:pStyle w:val="Heading2"/>
      </w:pPr>
      <w:r>
        <w:t>How Does SS-31 Work?</w:t>
      </w:r>
    </w:p>
    <w:p>
      <w:pPr>
        <w:pStyle w:val="Heading3"/>
      </w:pPr>
      <w:r>
        <w:t>Mitochondrial Membrane Association</w:t>
      </w:r>
    </w:p>
    <w:p>
      <w:r>
        <w:t>Elamipretide is studied for interactions with cardiolipin and effects on the inner mitochondrial membrane. This is different from supplying ATP directly.</w:t>
      </w:r>
    </w:p>
    <w:p>
      <w:pPr>
        <w:pStyle w:val="Heading3"/>
      </w:pPr>
      <w:r>
        <w:t>Bioenergetic Function</w:t>
      </w:r>
    </w:p>
    <w:p>
      <w:r>
        <w:t>Research investigates whether changes in membrane function influence mitochondrial performance. Molecular effects and patient-reported fatigue are separate endpoints.</w:t>
      </w:r>
    </w:p>
    <w:p>
      <w:pPr>
        <w:pStyle w:val="Heading3"/>
      </w:pPr>
      <w:r>
        <w:t>Disease-Specific Outcomes</w:t>
      </w:r>
    </w:p>
    <w:p>
      <w:r>
        <w:t>Mitochondrial disorders have different causes. An outcome in Barth syndrome cannot automatically predict an outcome in another mitochondrial disease or in a healthy person.</w:t>
      </w:r>
    </w:p>
    <w:p>
      <w:pPr>
        <w:pStyle w:val="Heading2"/>
      </w:pPr>
      <w:r>
        <w:t>SS-31 Research Findings</w:t>
      </w:r>
    </w:p>
    <w:p>
      <w:pPr>
        <w:pStyle w:val="Heading3"/>
      </w:pPr>
      <w:r>
        <w:t>Primary Mitochondrial Myopathy</w:t>
      </w:r>
    </w:p>
    <w:p>
      <w:r>
        <w:t>MMPOWER-3 was a Phase 3 randomised trial involving 218 participants with primary mitochondrial myopathy. The 2023 publication reported that elamipretide did not meet its primary endpoints for the six-minute walk test and fatigue after 24 weeks. This negative result is essential context for broad energy or endurance claims.</w:t>
      </w:r>
    </w:p>
    <w:p>
      <w:r/>
      <w:hyperlink r:id="rId10">
        <w:r>
          <w:rPr>
            <w:color w:val="146B73"/>
          </w:rPr>
          <w:t>Read the MMPOWER-3 trial</w:t>
        </w:r>
      </w:hyperlink>
      <w:r>
        <w:t>.</w:t>
      </w:r>
    </w:p>
    <w:p>
      <w:pPr>
        <w:pStyle w:val="Heading3"/>
      </w:pPr>
      <w:r>
        <w:t>Barth Syndrome Research</w:t>
      </w:r>
    </w:p>
    <w:p>
      <w:r>
        <w:t>A smaller randomised crossover study with an open-label extension investigated elamipretide in Barth syndrome. The controlled phase did not meet its primary endpoints; improvements were reported during the longer open-label phase. The different study phases have different strengths and limitations.</w:t>
      </w:r>
    </w:p>
    <w:p>
      <w:r/>
      <w:hyperlink r:id="rId11">
        <w:r>
          <w:rPr>
            <w:color w:val="146B73"/>
          </w:rPr>
          <w:t>Read the Barth syndrome study</w:t>
        </w:r>
      </w:hyperlink>
      <w:r>
        <w:t>.</w:t>
      </w:r>
    </w:p>
    <w:p>
      <w:pPr>
        <w:pStyle w:val="Heading3"/>
      </w:pPr>
      <w:r>
        <w:t>US Medicinal Approval</w:t>
      </w:r>
    </w:p>
    <w:p>
      <w:r>
        <w:t>In September 2025, the FDA granted accelerated approval to Forzinity, an elamipretide injection, for patients with Barth syndrome weighing at least 30 kg. Accelerated approval was based on knee-extensor muscle strength, with a confirmatory trial required to establish patient benefit. The approval is product- and indication-specific. It should not be presented as approval of all SS-31 preparations or evidence for general longevity use.</w:t>
      </w:r>
    </w:p>
    <w:p>
      <w:r/>
      <w:hyperlink r:id="rId12">
        <w:r>
          <w:rPr>
            <w:color w:val="146B73"/>
          </w:rPr>
          <w:t>Read the FDA announcement</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have investigated</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Mitochondrial myopathy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Walking capacity and fatigue in a Phase 3 trial</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Primary endpoints were not met</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Barth syndrome</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Controlled and open-label clinical findings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Study phase and disease context matter</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Regulatory status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Specific US accelerated approval</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Does not cover every preparation, country or use</w:t>
            </w:r>
          </w:p>
        </w:tc>
      </w:tr>
    </w:tbl>
    <w:p>
      <w:pPr>
        <w:pStyle w:val="Heading2"/>
      </w:pPr>
      <w:r>
        <w:t>Safety and Research Limitations</w:t>
      </w:r>
    </w:p>
    <w:p>
      <w:r>
        <w:t>Clinical studies do not establish that SS-31 broadly improves fatigue, exercise performance or ageing in otherwise healthy people. Injection-site reactions have been relevant in the clinical programme. Safety interpretation must consider disease, formulation, route and duration. A research material is not demonstrated equivalent to the authorised medicinal product simply because it shares an active-compound name.</w:t>
      </w:r>
    </w:p>
    <w:p>
      <w:r>
        <w:t>This page summarises scientific evidence and does not provide instructions for personal use.</w:t>
      </w:r>
    </w:p>
    <w:p>
      <w:pPr>
        <w:pStyle w:val="Heading2"/>
      </w:pPr>
      <w:r>
        <w:t>Understanding SS-31 Testing and COAs</w:t>
      </w:r>
    </w:p>
    <w:p>
      <w:r>
        <w:t>Analytical methods answer different questions. A Certificate of Analysis should identify the submitted sample and report the actual measurements performed.</w:t>
      </w:r>
    </w:p>
    <w:p>
      <w:pPr>
        <w:pStyle w:val="ListBullet"/>
      </w:pPr>
      <w:r/>
      <w:r>
        <w:rPr>
          <w:b/>
        </w:rPr>
        <w:t>Purity:</w:t>
      </w:r>
      <w:r>
        <w:t xml:space="preserve"> Chromatographic testing measures detected components under specified conditions; a percentage alone does not establish vial content.</w:t>
      </w:r>
    </w:p>
    <w:p>
      <w:pPr>
        <w:pStyle w:val="ListBullet"/>
      </w:pPr>
      <w:r/>
      <w:r>
        <w:rPr>
          <w:b/>
        </w:rPr>
        <w:t>Identity:</w:t>
      </w:r>
      <w:r>
        <w:t xml:space="preserve"> Appropriate methods, such as mass spectrometry with complementary analysis where needed, assess consistency with the stated material.</w:t>
      </w:r>
    </w:p>
    <w:p>
      <w:pPr>
        <w:pStyle w:val="ListBullet"/>
      </w:pPr>
      <w:r/>
      <w:r>
        <w:rPr>
          <w:b/>
        </w:rPr>
        <w:t>Content:</w:t>
      </w:r>
      <w:r>
        <w:t xml:space="preserve"> A validated quantitative assay measures the amount of the specified compound.</w:t>
      </w:r>
    </w:p>
    <w:p>
      <w:r>
        <w:t>For SS-31, confirm the precise peptide identity, stereochemistry, chemical form and quantitative assay basis. A matching name or general HPLC purity percentage cannot demonstrate equivalence with a clinical formulation.</w:t>
      </w:r>
    </w:p>
    <w:p>
      <w:r>
        <w:t xml:space="preserve">Purity does not establish sterility, endotoxin status or clinical effectiveness. Explore PEPLAB’s </w:t>
      </w:r>
      <w:hyperlink r:id="rId13">
        <w:r>
          <w:rPr>
            <w:color w:val="146B73"/>
          </w:rPr>
          <w:t>Quality &amp; Testing</w:t>
        </w:r>
      </w:hyperlink>
      <w:r>
        <w:t xml:space="preserve"> information and available </w:t>
      </w:r>
      <w:hyperlink r:id="rId14">
        <w:r>
          <w:rPr>
            <w:color w:val="146B73"/>
          </w:rPr>
          <w:t>COA Results</w:t>
        </w:r>
      </w:hyperlink>
      <w:r>
        <w:t>, checking whether a report covers the material and batch being assessed.</w:t>
      </w:r>
    </w:p>
    <w:p>
      <w:pPr>
        <w:pStyle w:val="Heading2"/>
      </w:pPr>
      <w:r>
        <w:t>Frequently Asked Questions</w:t>
      </w:r>
    </w:p>
    <w:p>
      <w:pPr>
        <w:pStyle w:val="Heading3"/>
      </w:pPr>
      <w:r>
        <w:t>Is SS-31 the same as elamipretide?</w:t>
      </w:r>
    </w:p>
    <w:p>
      <w:r>
        <w:t>SS-31 is a research name for elamipretide. Product formulation, identity and quality still need separate assessment.</w:t>
      </w:r>
    </w:p>
    <w:p>
      <w:pPr>
        <w:pStyle w:val="Heading3"/>
      </w:pPr>
      <w:r>
        <w:t>Is SS-31 a peptide?</w:t>
      </w:r>
    </w:p>
    <w:p>
      <w:r>
        <w:t>Yes. It is a synthetic tetrapeptide, meaning it contains four amino-acid residues.</w:t>
      </w:r>
    </w:p>
    <w:p>
      <w:pPr>
        <w:pStyle w:val="Heading3"/>
      </w:pPr>
      <w:r>
        <w:t>Did the mitochondrial myopathy trial show improved fatigue?</w:t>
      </w:r>
    </w:p>
    <w:p>
      <w:r>
        <w:t>MMPOWER-3 did not meet its primary fatigue or six-minute walk endpoints in the overall trial population.</w:t>
      </w:r>
    </w:p>
    <w:p>
      <w:pPr>
        <w:pStyle w:val="Heading3"/>
      </w:pPr>
      <w:r>
        <w:t>Is elamipretide an approved medicine?</w:t>
      </w:r>
    </w:p>
    <w:p>
      <w:r>
        <w:t xml:space="preserve">A specific elamipretide product received US accelerated approval for Barth syndrome in patients weighing at least 30 kg. That is not a blanket approval of SS-31 materials. </w:t>
      </w:r>
      <w:hyperlink r:id="rId12">
        <w:r>
          <w:rPr>
            <w:color w:val="146B73"/>
          </w:rPr>
          <w:t>FDA source</w:t>
        </w:r>
      </w:hyperlink>
      <w:r>
        <w:t>.</w:t>
      </w:r>
    </w:p>
    <w:p>
      <w:pPr>
        <w:pStyle w:val="Heading3"/>
      </w:pPr>
      <w:r>
        <w:t>Does SS-31 reverse ageing?</w:t>
      </w:r>
    </w:p>
    <w:p>
      <w:r>
        <w:t>The cited trials do not demonstrate reversal of ageing or longer lifespan in humans.</w:t>
      </w:r>
    </w:p>
    <w:p>
      <w:pPr>
        <w:pStyle w:val="Heading3"/>
      </w:pPr>
      <w:r>
        <w:t>Is SS-31 interchangeable with MOTS-C?</w:t>
      </w:r>
    </w:p>
    <w:p>
      <w:r>
        <w:t>No. They are different peptides with different mechanisms, study programmes and evidence.</w:t>
      </w:r>
    </w:p>
    <w:p>
      <w:pPr>
        <w:pStyle w:val="Heading3"/>
      </w:pPr>
      <w:r>
        <w:t>Where can I find SS-31 research papers?</w:t>
      </w:r>
    </w:p>
    <w:p>
      <w:r>
        <w:t>Start with the original-study links above. Check the molecule, formulation, study population and measured outcomes before applying a finding to another preparation.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t xml:space="preserve">Related research: </w:t>
      </w:r>
      <w:hyperlink r:id="rId15">
        <w:r>
          <w:rPr>
            <w:color w:val="146B73"/>
          </w:rPr>
          <w:t>MOTS-C</w:t>
        </w:r>
      </w:hyperlink>
      <w:r>
        <w:t xml:space="preserve"> · </w:t>
      </w:r>
      <w:hyperlink r:id="rId16">
        <w:r>
          <w:rPr>
            <w:color w:val="146B73"/>
          </w:rPr>
          <w:t>NAD+</w:t>
        </w:r>
      </w:hyperlink>
      <w:r>
        <w:t>.</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7">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Retain the negative MMPOWER-3 primary endpoints. The specific US accelerated approval does not establish general energy or longevity benefits, or equivalence of separately supplied materials.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37268435/" TargetMode="External"/><Relationship Id="rId11" Type="http://schemas.openxmlformats.org/officeDocument/2006/relationships/hyperlink" Target="https://pubmed.ncbi.nlm.nih.gov/33077895/" TargetMode="External"/><Relationship Id="rId12" Type="http://schemas.openxmlformats.org/officeDocument/2006/relationships/hyperlink" Target="https://www.fda.gov/news-events/press-announcements/fda-grants-accelerated-approval-first-treatment-barth-syndrome" TargetMode="External"/><Relationship Id="rId13" Type="http://schemas.openxmlformats.org/officeDocument/2006/relationships/hyperlink" Target="https://peplab.com.au/standards" TargetMode="External"/><Relationship Id="rId14" Type="http://schemas.openxmlformats.org/officeDocument/2006/relationships/hyperlink" Target="https://peplab.com.au/coa" TargetMode="External"/><Relationship Id="rId15" Type="http://schemas.openxmlformats.org/officeDocument/2006/relationships/hyperlink" Target="https://peplab.com.au/research/compounds/mots-c" TargetMode="External"/><Relationship Id="rId16" Type="http://schemas.openxmlformats.org/officeDocument/2006/relationships/hyperlink" Target="https://peplab.com.au/research/compounds/nad-plus" TargetMode="External"/><Relationship Id="rId17"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SS-31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