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Semax</w:t>
      </w:r>
    </w:p>
    <w:p>
      <w:r>
        <w:t>Website developer handoff</w:t>
      </w:r>
    </w:p>
    <w:p>
      <w:r>
        <w:t>Build this research page using the existing Retatrutide layout. This document contains SEO fields, complete page copy with clickable study references, and implementation notes. Publish only section 2 as the article.</w:t>
      </w:r>
    </w:p>
    <w:p>
      <w:pPr>
        <w:pStyle w:val="Heading2"/>
      </w:pPr>
      <w:r>
        <w:t>1 SEO settings</w:t>
      </w:r>
    </w:p>
    <w:p>
      <w:pPr>
        <w:pStyle w:val="ListBullet"/>
      </w:pPr>
      <w:r/>
      <w:r>
        <w:rPr>
          <w:b/>
        </w:rPr>
        <w:t>Title tag:</w:t>
      </w:r>
      <w:r>
        <w:t xml:space="preserve"> Semax Research: Neurotrophins &amp; Brain Signalling | PEPLAB</w:t>
      </w:r>
    </w:p>
    <w:p>
      <w:pPr>
        <w:pStyle w:val="ListBullet"/>
      </w:pPr>
      <w:r/>
      <w:r>
        <w:rPr>
          <w:b/>
        </w:rPr>
        <w:t>Meta description:</w:t>
      </w:r>
      <w:r>
        <w:t xml:space="preserve"> Explore Semax research on neurotrophins, cerebral ischaemia and neural signalling, with original studies, human-evidence limits and COA guidance.</w:t>
      </w:r>
    </w:p>
    <w:p>
      <w:pPr>
        <w:pStyle w:val="ListBullet"/>
      </w:pPr>
      <w:r/>
      <w:r>
        <w:rPr>
          <w:b/>
        </w:rPr>
        <w:t>Suggested URL:</w:t>
      </w:r>
      <w:r>
        <w:t xml:space="preserve"> https://peplab.com.au/research/compounds/semax</w:t>
      </w:r>
    </w:p>
    <w:p>
      <w:pPr>
        <w:pStyle w:val="ListBullet"/>
      </w:pPr>
      <w:r/>
      <w:r>
        <w:rPr>
          <w:b/>
        </w:rPr>
        <w:t>Primary topic:</w:t>
      </w:r>
      <w:r>
        <w:t xml:space="preserve"> Semax research</w:t>
      </w:r>
    </w:p>
    <w:p>
      <w:r>
        <w:br w:type="page"/>
      </w:r>
    </w:p>
    <w:p>
      <w:r>
        <w:t>2 WEBSITE COPY START</w:t>
      </w:r>
    </w:p>
    <w:p>
      <w:r>
        <w:t>NEUROPEPTIDES / NEURAL SIGNALLING</w:t>
      </w:r>
    </w:p>
    <w:p>
      <w:pPr>
        <w:pStyle w:val="Heading1"/>
      </w:pPr>
      <w:r>
        <w:t>Semax Research Overview</w:t>
      </w:r>
    </w:p>
    <w:p>
      <w:pPr>
        <w:pStyle w:val="Heading2"/>
      </w:pPr>
      <w:r>
        <w:t>Neurotrophin and Cerebral Ischaemia Research</w:t>
      </w:r>
    </w:p>
    <w:p>
      <w:r>
        <w:t>Semax is a synthetic heptapeptide investigated in neural signalling, neurotrophin regulation and cerebral ischaemia research. Its evidence includes animal experiments and published human reports in specific clinical settings. This page distinguishes those studies from claims of reliably improving attention, memory or productivity in healthy people.</w:t>
      </w:r>
    </w:p>
    <w:p>
      <w:r>
        <w:t xml:space="preserve">For guidance on study design and analytical evidence, visit PEPLAB’s </w:t>
      </w:r>
      <w:hyperlink r:id="rId9">
        <w:r>
          <w:rPr>
            <w:color w:val="146B73"/>
          </w:rPr>
          <w:t>Research Overview</w:t>
        </w:r>
      </w:hyperlink>
      <w:r>
        <w:t>.</w:t>
      </w:r>
    </w:p>
    <w:p>
      <w:pPr>
        <w:pStyle w:val="Heading2"/>
      </w:pPr>
      <w:r>
        <w:t>What Is Semax?</w:t>
      </w:r>
    </w:p>
    <w:p>
      <w:r>
        <w:t>Semax is an analogue derived from an adrenocorticotropic hormone fragment with a Pro–Gly–Pro extension. It is a seven-amino-acid peptide, not the full ACTH hormone. Its relationship to a hormone fragment does not establish that it reproduces all actions of that hormone or that every modified Semax product is equivalent.</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Semax</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heptapeptide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Peptide length</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Seven amino acids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origin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ACTH-fragment analogue with a Pro–Gly–Pro extension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Neurotrophins, ischaemia-related responses and neural signalling</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base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Preclinical mechanisms and limited setting-specific human publications</w:t>
            </w:r>
          </w:p>
        </w:tc>
      </w:tr>
    </w:tbl>
    <w:p>
      <w:pPr>
        <w:pStyle w:val="Heading2"/>
      </w:pPr>
      <w:r>
        <w:t>How Does Semax Work?</w:t>
      </w:r>
    </w:p>
    <w:p>
      <w:pPr>
        <w:pStyle w:val="Heading3"/>
      </w:pPr>
      <w:r>
        <w:t>Neurotrophin Research</w:t>
      </w:r>
    </w:p>
    <w:p>
      <w:r>
        <w:t>Studies have examined brain-derived neurotrophic factor, or BDNF, and related signalling. BDNF participates in neural biology, but a change in its expression does not prove better memory or attention.</w:t>
      </w:r>
    </w:p>
    <w:p>
      <w:pPr>
        <w:pStyle w:val="Heading3"/>
      </w:pPr>
      <w:r>
        <w:t>Ischaemia-Related Responses</w:t>
      </w:r>
    </w:p>
    <w:p>
      <w:r>
        <w:t>Cerebral ischaemia involves reduced blood supply to the brain. Experimental work examines inflammatory and neural gene responses in this context.</w:t>
      </w:r>
    </w:p>
    <w:p>
      <w:pPr>
        <w:pStyle w:val="Heading3"/>
      </w:pPr>
      <w:r>
        <w:t>Formulation and Analogue Differences</w:t>
      </w:r>
    </w:p>
    <w:p>
      <w:r>
        <w:t>Semax, acetylated derivatives and other modified peptides should not be treated as one substance. Delivery route and the exact material affect interpretation of the evidence.</w:t>
      </w:r>
    </w:p>
    <w:p>
      <w:pPr>
        <w:pStyle w:val="Heading2"/>
      </w:pPr>
      <w:r>
        <w:t>Semax Research Findings</w:t>
      </w:r>
    </w:p>
    <w:p>
      <w:pPr>
        <w:pStyle w:val="Heading3"/>
      </w:pPr>
      <w:r>
        <w:t>BDNF in Animal Models</w:t>
      </w:r>
    </w:p>
    <w:p>
      <w:r>
        <w:t>A 2006 study investigated Semax and BDNF protein in rat basal forebrain. It provides mechanistic evidence in an animal model, not a clinical demonstration of improved cognition in healthy adults.</w:t>
      </w:r>
    </w:p>
    <w:p>
      <w:r/>
      <w:hyperlink r:id="rId10">
        <w:r>
          <w:rPr>
            <w:color w:val="146B73"/>
          </w:rPr>
          <w:t>Read the rat BDNF study</w:t>
        </w:r>
      </w:hyperlink>
      <w:r>
        <w:t>.</w:t>
      </w:r>
    </w:p>
    <w:p>
      <w:pPr>
        <w:pStyle w:val="Heading3"/>
      </w:pPr>
      <w:r>
        <w:t>Gene Expression After Experimental Ischaemia</w:t>
      </w:r>
    </w:p>
    <w:p>
      <w:r>
        <w:t>A 2022 paper compared Semax-related effects with other glyproline peptides in a rat model of cerebral ischaemia-reperfusion. Researchers assessed inflammatory and neurotransmission-related gene expression. These molecular endpoints cannot establish recovery or prevention of human stroke.</w:t>
      </w:r>
    </w:p>
    <w:p>
      <w:r/>
      <w:hyperlink r:id="rId11">
        <w:r>
          <w:rPr>
            <w:color w:val="146B73"/>
          </w:rPr>
          <w:t>Read the ischaemia-reperfusion study</w:t>
        </w:r>
      </w:hyperlink>
      <w:r>
        <w:t>.</w:t>
      </w:r>
    </w:p>
    <w:p>
      <w:pPr>
        <w:pStyle w:val="Heading3"/>
      </w:pPr>
      <w:r>
        <w:t>Human Stroke-Rehabilitation Report</w:t>
      </w:r>
    </w:p>
    <w:p>
      <w:r>
        <w:t>A 2018 publication evaluated Semax in patients at different stages of ischaemic stroke and reported BDNF-related and rehabilitation findings. Its clinical setting differs from healthy-person cognitive enhancement. Study design, background care and independent replication must be considered before broader conclusions are drawn.</w:t>
      </w:r>
    </w:p>
    <w:p>
      <w:r/>
      <w:hyperlink r:id="rId12">
        <w:r>
          <w:rPr>
            <w:color w:val="146B73"/>
          </w:rPr>
          <w:t>Read the human rehabilitation report</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have investigated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Neurotrophins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BDNF-related responses in animal experiments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 biomarker is not a direct cognitive outcome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Ischaemia models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Inflammatory and neural gene expression</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Animal injury models do not prove human treatment benefit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reports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Specific stroke-rehabilitation settings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proof of general nootropic effectiveness</w:t>
            </w:r>
          </w:p>
        </w:tc>
      </w:tr>
    </w:tbl>
    <w:p>
      <w:pPr>
        <w:pStyle w:val="Heading2"/>
      </w:pPr>
      <w:r>
        <w:t>Safety and Research Limitations</w:t>
      </w:r>
    </w:p>
    <w:p>
      <w:r>
        <w:t>The selected literature does not establish comprehensive long-term safety or predictable cognitive benefits in healthy users. Findings from one route, clinical setting or peptide variant should not be extrapolated to another. Small or setting-specific reports cannot exclude uncommon adverse effects. A research sample’s analytical identity also does not establish its suitability for personal administration.</w:t>
      </w:r>
    </w:p>
    <w:p>
      <w:r>
        <w:t>This page summarises scientific evidence and does not provide instructions for personal use.</w:t>
      </w:r>
    </w:p>
    <w:p>
      <w:pPr>
        <w:pStyle w:val="Heading2"/>
      </w:pPr>
      <w:r>
        <w:t>Understanding Semax Testing and COAs</w:t>
      </w:r>
    </w:p>
    <w:p>
      <w:r>
        <w:t>Analytical methods answer different questions. A Certificate of Analysis should identify the submitted sample and report the actual measurements performed.</w:t>
      </w:r>
    </w:p>
    <w:p>
      <w:pPr>
        <w:pStyle w:val="ListBullet"/>
      </w:pPr>
      <w:r/>
      <w:r>
        <w:rPr>
          <w:b/>
        </w:rPr>
        <w:t>Purity:</w:t>
      </w:r>
      <w:r>
        <w:t xml:space="preserve"> Chromatographic testing measures detected components under specified conditions; a percentage alone does not establish vial content.</w:t>
      </w:r>
    </w:p>
    <w:p>
      <w:pPr>
        <w:pStyle w:val="ListBullet"/>
      </w:pPr>
      <w:r/>
      <w:r>
        <w:rPr>
          <w:b/>
        </w:rPr>
        <w:t>Identity:</w:t>
      </w:r>
      <w:r>
        <w:t xml:space="preserve"> Appropriate methods, such as mass spectrometry with complementary analysis where needed, assess consistency with the stated material.</w:t>
      </w:r>
    </w:p>
    <w:p>
      <w:pPr>
        <w:pStyle w:val="ListBullet"/>
      </w:pPr>
      <w:r/>
      <w:r>
        <w:rPr>
          <w:b/>
        </w:rPr>
        <w:t>Content:</w:t>
      </w:r>
      <w:r>
        <w:t xml:space="preserve"> A validated quantitative assay measures the amount of the specified compound.</w:t>
      </w:r>
    </w:p>
    <w:p>
      <w:r>
        <w:t>Verify native Semax identity and terminal chemistry. Do not substitute data for acetylated, amidated or otherwise modified analogues without documenting the distinction. Each formulation requires its own content and stability assessment.</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checking whether a report covers the material and batch being assessed.</w:t>
      </w:r>
    </w:p>
    <w:p>
      <w:pPr>
        <w:pStyle w:val="Heading2"/>
      </w:pPr>
      <w:r>
        <w:t>Frequently Asked Questions</w:t>
      </w:r>
    </w:p>
    <w:p>
      <w:pPr>
        <w:pStyle w:val="Heading3"/>
      </w:pPr>
      <w:r>
        <w:t>What is Semax?</w:t>
      </w:r>
    </w:p>
    <w:p>
      <w:r>
        <w:t>Semax is a synthetic seven-amino-acid peptide investigated in neurotrophin, neural-signalling and cerebral ischaemia research.</w:t>
      </w:r>
    </w:p>
    <w:p>
      <w:pPr>
        <w:pStyle w:val="Heading3"/>
      </w:pPr>
      <w:r>
        <w:t>Does Semax raise BDNF?</w:t>
      </w:r>
    </w:p>
    <w:p>
      <w:r>
        <w:t>Some studies report BDNF-related changes in specific experimental or clinical settings. That does not establish a reliable cognitive benefit for every person.</w:t>
      </w:r>
    </w:p>
    <w:p>
      <w:pPr>
        <w:pStyle w:val="Heading3"/>
      </w:pPr>
      <w:r>
        <w:t>Is Semax proven to improve focus?</w:t>
      </w:r>
    </w:p>
    <w:p>
      <w:r>
        <w:t>The studies discussed here do not establish consistent focus enhancement in healthy adults through large, well-controlled trials.</w:t>
      </w:r>
    </w:p>
    <w:p>
      <w:pPr>
        <w:pStyle w:val="Heading3"/>
      </w:pPr>
      <w:r>
        <w:t>Is Semax the same as Selank?</w:t>
      </w:r>
    </w:p>
    <w:p>
      <w:r>
        <w:t>No. They are distinct peptides with different origins and research histories. A shared interest in neural signalling does not make them interchangeable.</w:t>
      </w:r>
    </w:p>
    <w:p>
      <w:pPr>
        <w:pStyle w:val="Heading3"/>
      </w:pPr>
      <w:r>
        <w:t>Are modified Semax versions equivalent?</w:t>
      </w:r>
    </w:p>
    <w:p>
      <w:r>
        <w:t>Not automatically. Acetylation or other changes create different materials, and evidence should match the exact peptide studied.</w:t>
      </w:r>
    </w:p>
    <w:p>
      <w:pPr>
        <w:pStyle w:val="Heading3"/>
      </w:pPr>
      <w:r>
        <w:t>Does research on Semax support a Semax + Selank blend?</w:t>
      </w:r>
    </w:p>
    <w:p>
      <w:r>
        <w:t>Individual-compound research does not establish the interaction, stability or effectiveness of a combined formulation.</w:t>
      </w:r>
    </w:p>
    <w:p>
      <w:pPr>
        <w:pStyle w:val="Heading3"/>
      </w:pPr>
      <w:r>
        <w:t>Where can I find Semax research papers?</w:t>
      </w:r>
    </w:p>
    <w:p>
      <w:r>
        <w:t>Start with the original-study links above. Check the molecule, formulation, study population and measured outcomes before applying a finding to another preparation.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t xml:space="preserve">Related research: </w:t>
      </w:r>
      <w:hyperlink r:id="rId15">
        <w:r>
          <w:rPr>
            <w:color w:val="146B73"/>
          </w:rPr>
          <w:t>Semax + Selank Blend</w:t>
        </w:r>
      </w:hyperlink>
      <w:r>
        <w:t>.</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Distinguish native Semax from acetylated or other modified analogues. Do not turn animal BDNF findings or stroke-setting reports into claims of reliable cognitive enhancement in healthy people.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16635254/" TargetMode="External"/><Relationship Id="rId11" Type="http://schemas.openxmlformats.org/officeDocument/2006/relationships/hyperlink" Target="https://pubmed.ncbi.nlm.nih.gov/36553646/" TargetMode="External"/><Relationship Id="rId12" Type="http://schemas.openxmlformats.org/officeDocument/2006/relationships/hyperlink" Target="https://pubmed.ncbi.nlm.nih.gov/29798983/"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eplab.com.au/research/compounds/semax-selank"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Semax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