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PEPLAB ARA-290</w:t>
      </w:r>
    </w:p>
    <w:p>
      <w:r>
        <w:t>Website developer handoff</w:t>
      </w:r>
    </w:p>
    <w:p>
      <w:r>
        <w:t>Build this research page using the existing Retatrutide layout. This document contains SEO fields, complete page copy with clickable research references, and implementation notes. Publish only section 2 as the article.</w:t>
      </w:r>
    </w:p>
    <w:p>
      <w:pPr>
        <w:pStyle w:val="Heading2"/>
      </w:pPr>
      <w:r>
        <w:t>1 SEO settings</w:t>
      </w:r>
    </w:p>
    <w:p>
      <w:pPr>
        <w:pStyle w:val="ListBullet"/>
      </w:pPr>
      <w:r/>
      <w:r>
        <w:rPr>
          <w:b/>
        </w:rPr>
        <w:t>Title tag:</w:t>
      </w:r>
      <w:r>
        <w:t xml:space="preserve"> ARA-290 Research Overview | PEPLAB</w:t>
      </w:r>
    </w:p>
    <w:p>
      <w:pPr>
        <w:pStyle w:val="ListBullet"/>
      </w:pPr>
      <w:r/>
      <w:r>
        <w:rPr>
          <w:b/>
        </w:rPr>
        <w:t>Meta description:</w:t>
      </w:r>
      <w:r>
        <w:t xml:space="preserve"> Explore ARA-290 research on innate repair signalling and small fibre neuropathy, with pilot clinical findings, limitations, FAQs and COA guidance.</w:t>
      </w:r>
    </w:p>
    <w:p>
      <w:pPr>
        <w:pStyle w:val="ListBullet"/>
      </w:pPr>
      <w:r/>
      <w:r>
        <w:rPr>
          <w:b/>
        </w:rPr>
        <w:t>Suggested URL:</w:t>
      </w:r>
      <w:r>
        <w:t xml:space="preserve"> https://peplab.com.au/research/compounds/ara-290</w:t>
      </w:r>
    </w:p>
    <w:p>
      <w:pPr>
        <w:pStyle w:val="ListBullet"/>
      </w:pPr>
      <w:r/>
      <w:r>
        <w:rPr>
          <w:b/>
        </w:rPr>
        <w:t>Primary topic:</w:t>
      </w:r>
      <w:r>
        <w:t xml:space="preserve"> ARA-290 research</w:t>
      </w:r>
    </w:p>
    <w:p>
      <w:r>
        <w:br w:type="page"/>
      </w:r>
    </w:p>
    <w:p>
      <w:r>
        <w:t>2 WEBSITE COPY START</w:t>
      </w:r>
    </w:p>
    <w:p>
      <w:r>
        <w:t>TISSUE RESPONSE / NEUROPATHY RESEARCH</w:t>
      </w:r>
    </w:p>
    <w:p>
      <w:pPr>
        <w:pStyle w:val="Heading1"/>
      </w:pPr>
      <w:r>
        <w:t>ARA-290 Research Overview</w:t>
      </w:r>
    </w:p>
    <w:p>
      <w:pPr>
        <w:pStyle w:val="Heading2"/>
      </w:pPr>
      <w:r>
        <w:t>Innate Repair Signalling and Small Fibre Research</w:t>
      </w:r>
    </w:p>
    <w:p>
      <w:r>
        <w:t>ARA-290, also known as cibinetide, is an erythropoietin-derived peptide investigated in tissue-protection and small fibre neuropathy research. Early human studies have examined symptoms and nerve-fibre measurements in selected conditions. Those findings do not establish a general pain-relief or injury-healing treatment.</w:t>
      </w:r>
    </w:p>
    <w:p>
      <w:r>
        <w:t xml:space="preserve">For guidance on evaluating evidence, visit PEPLAB’s </w:t>
      </w:r>
      <w:hyperlink r:id="rId9">
        <w:r>
          <w:rPr>
            <w:color w:val="146B73"/>
          </w:rPr>
          <w:t>Research Overview</w:t>
        </w:r>
      </w:hyperlink>
      <w:r>
        <w:t>.</w:t>
      </w:r>
    </w:p>
    <w:p>
      <w:pPr>
        <w:pStyle w:val="Heading2"/>
      </w:pPr>
      <w:r>
        <w:t>What Is ARA-290?</w:t>
      </w:r>
    </w:p>
    <w:p>
      <w:r>
        <w:t>ARA-290 is a short synthetic peptide designed around tissue-protective activity associated with erythropoietin, while separating it from stimulation of red blood cell production. Researchers study a proposed innate repair receptor pathway. It is distinct from erythropoietin and from BPC-157 or TB-500.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7344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name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ARA-290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Other name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Cibinetide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type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Erythropoietin-derived peptide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Research pathway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Innate repair receptor signalling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Clinical research area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Small fibre neuropathy, including sarcoidosis-associated disease</w:t>
            </w:r>
          </w:p>
        </w:tc>
      </w:tr>
    </w:tbl>
    <w:p>
      <w:pPr>
        <w:pStyle w:val="Heading2"/>
      </w:pPr>
      <w:r>
        <w:t>How Does ARA-290 Work?</w:t>
      </w:r>
    </w:p>
    <w:p>
      <w:pPr>
        <w:pStyle w:val="Heading3"/>
      </w:pPr>
      <w:r>
        <w:t>Tissue Response Signalling</w:t>
      </w:r>
    </w:p>
    <w:p>
      <w:r>
        <w:t>The proposed pathway involves tissue protection and inflammatory responses. A mechanistic rationale is a starting point for testing, not proof that all injured tissues respond similarly.</w:t>
      </w:r>
    </w:p>
    <w:p>
      <w:pPr>
        <w:pStyle w:val="Heading3"/>
      </w:pPr>
      <w:r>
        <w:t>Small Nerve Fibres</w:t>
      </w:r>
    </w:p>
    <w:p>
      <w:r>
        <w:t>Small sensory and autonomic nerve fibres are involved in pain, sensation and autonomic functions. Research can measure both symptoms and structural markers such as corneal nerve-fibre density.</w:t>
      </w:r>
    </w:p>
    <w:p>
      <w:pPr>
        <w:pStyle w:val="Heading3"/>
      </w:pPr>
      <w:r>
        <w:t>Different Kinds of Evidence</w:t>
      </w:r>
    </w:p>
    <w:p>
      <w:r>
        <w:t>Changes in a symptom score and changes in an imaging measurement describe different outcomes. Neither alone establishes durable restoration of nerve function across diseases.</w:t>
      </w:r>
    </w:p>
    <w:p>
      <w:pPr>
        <w:pStyle w:val="Heading2"/>
      </w:pPr>
      <w:r>
        <w:t>ARA-290 Research Findings</w:t>
      </w:r>
    </w:p>
    <w:p>
      <w:pPr>
        <w:pStyle w:val="Heading3"/>
      </w:pPr>
      <w:r>
        <w:t>Randomised Pilot Study</w:t>
      </w:r>
    </w:p>
    <w:p>
      <w:r>
        <w:t>A 2012 double-blind pilot study examined ARA-290 in sarcoidosis patients with small fibre neuropathy symptoms. It reported a signal of symptom improvement and short-term tolerability that supported further study. The small pilot design limits broad conclusions.</w:t>
      </w:r>
    </w:p>
    <w:p>
      <w:r/>
      <w:hyperlink r:id="rId10">
        <w:r>
          <w:rPr>
            <w:color w:val="146B73"/>
          </w:rPr>
          <w:t>Read the pilot trial</w:t>
        </w:r>
      </w:hyperlink>
      <w:r>
        <w:t>.</w:t>
      </w:r>
    </w:p>
    <w:p>
      <w:pPr>
        <w:pStyle w:val="Heading3"/>
      </w:pPr>
      <w:r>
        <w:t>Nerve Fibre Measurements</w:t>
      </w:r>
    </w:p>
    <w:p>
      <w:r>
        <w:t>A later placebo-controlled study reported changes in symptoms and corneal nerve-fibre density in sarcoidosis-associated small nerve-fibre loss. Corneal imaging is a particular measurement; it is not proof of regeneration throughout the nervous system.</w:t>
      </w:r>
    </w:p>
    <w:p>
      <w:r/>
      <w:hyperlink r:id="rId11">
        <w:r>
          <w:rPr>
            <w:color w:val="146B73"/>
          </w:rPr>
          <w:t>Read the clinical study</w:t>
        </w:r>
      </w:hyperlink>
      <w:r>
        <w:t>.</w:t>
      </w:r>
    </w:p>
    <w:p>
      <w:pPr>
        <w:pStyle w:val="Heading3"/>
      </w:pPr>
      <w:r>
        <w:t>Interpreting the Research Population</w:t>
      </w:r>
    </w:p>
    <w:p>
      <w:r>
        <w:t>These studies concern a defined sarcoidosis-associated condition. Their results cannot automatically be extended to sports injuries, back pain, fibromyalgia or every cause of neuropathy. Each condition needs evidence matching the population and outcome.</w:t>
      </w:r>
    </w:p>
    <w:p>
      <w:r/>
      <w:hyperlink r:id="rId11">
        <w:r>
          <w:rPr>
            <w:color w:val="146B73"/>
          </w:rPr>
          <w:t>Review the study population</w:t>
        </w:r>
      </w:hyperlink>
      <w:r>
        <w:t>.</w:t>
      </w:r>
    </w:p>
    <w:p>
      <w:pPr>
        <w:pStyle w:val="Heading2"/>
      </w:pPr>
      <w:r>
        <w:t>Research Findings at a Glance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Research area</w:t>
            </w:r>
          </w:p>
        </w:tc>
        <w:tc>
          <w:tcPr>
            <w:tcW w:type="dxa" w:w="403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What studies investigate</w:t>
            </w:r>
          </w:p>
        </w:tc>
        <w:tc>
          <w:tcPr>
            <w:tcW w:type="dxa" w:w="439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Important distinction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Symptoms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Neuropathy-related questionnaires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Small condition-specific studies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Nerve structure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Corneal nerve-fibre density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Not proof of whole-body regeneration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Mechanism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Tissue-protective signalling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Not interchangeable with erythropoietin</w:t>
            </w:r>
          </w:p>
        </w:tc>
      </w:tr>
    </w:tbl>
    <w:p>
      <w:pPr>
        <w:pStyle w:val="Heading2"/>
      </w:pPr>
      <w:r>
        <w:t>Safety and Research Limitations</w:t>
      </w:r>
    </w:p>
    <w:p>
      <w:r>
        <w:t>Early trials provide limited short-term safety information. They cannot exclude uncommon effects or establish long-term safety across other populations. Absence of a major problem in a small trial should not be presented as evidence that ARA-290 is risk-free or suitable for unsupervised use.</w:t>
      </w:r>
    </w:p>
    <w:p>
      <w:r>
        <w:t>This page summarises scientific evidence and does not provide instructions for personal use.</w:t>
      </w:r>
    </w:p>
    <w:p>
      <w:pPr>
        <w:pStyle w:val="Heading2"/>
      </w:pPr>
      <w:r>
        <w:t>Understanding ARA-290 Testing and COAs</w:t>
      </w:r>
    </w:p>
    <w:p>
      <w:r>
        <w:t>Analytical methods answer different questions. Review the compound name, sample or batch identifier, laboratory, testing date, methods and reported results.</w:t>
      </w:r>
    </w:p>
    <w:p>
      <w:pPr>
        <w:pStyle w:val="ListBullet"/>
      </w:pPr>
      <w:r/>
      <w:r>
        <w:rPr>
          <w:b/>
        </w:rPr>
        <w:t>Purity:</w:t>
      </w:r>
      <w:r>
        <w:t xml:space="preserve"> Chromatography measures the relative proportions of detected components under specified conditions.</w:t>
      </w:r>
    </w:p>
    <w:p>
      <w:pPr>
        <w:pStyle w:val="ListBullet"/>
      </w:pPr>
      <w:r/>
      <w:r>
        <w:rPr>
          <w:b/>
        </w:rPr>
        <w:t>Identity:</w:t>
      </w:r>
      <w:r>
        <w:t xml:space="preserve"> Mass spectrometry and complementary methods assess whether a sample is consistent with the stated molecule.</w:t>
      </w:r>
    </w:p>
    <w:p>
      <w:pPr>
        <w:pStyle w:val="ListBullet"/>
      </w:pPr>
      <w:r/>
      <w:r>
        <w:rPr>
          <w:b/>
        </w:rPr>
        <w:t>Content:</w:t>
      </w:r>
      <w:r>
        <w:t xml:space="preserve"> A validated quantitative assay measures the amount of the specified material.</w:t>
      </w:r>
    </w:p>
    <w:p>
      <w:r>
        <w:t>Confirm the ARA-290 sequence and distinguish it from erythropoietin or other tissue-protective peptides. Mass and purity results alone do not establish activity at the proposed receptor or reproduce the clinical trial preparation.</w:t>
      </w:r>
    </w:p>
    <w:p>
      <w:r>
        <w:t xml:space="preserve">Purity does not establish sterility, endotoxin status or clinical effectiveness. Explore PEPLAB’s </w:t>
      </w:r>
      <w:hyperlink r:id="rId12">
        <w:r>
          <w:rPr>
            <w:color w:val="146B73"/>
          </w:rPr>
          <w:t>Quality &amp; Testing</w:t>
        </w:r>
      </w:hyperlink>
      <w:r>
        <w:t xml:space="preserve"> information and available </w:t>
      </w:r>
      <w:hyperlink r:id="rId13">
        <w:r>
          <w:rPr>
            <w:color w:val="146B73"/>
          </w:rPr>
          <w:t>COA Results</w:t>
        </w:r>
      </w:hyperlink>
      <w:r>
        <w:t>. Only treat a property as tested when the relevant measurement is reported.</w:t>
      </w:r>
    </w:p>
    <w:p>
      <w:pPr>
        <w:pStyle w:val="Heading2"/>
      </w:pPr>
      <w:r>
        <w:t>Frequently Asked Questions</w:t>
      </w:r>
    </w:p>
    <w:p>
      <w:pPr>
        <w:pStyle w:val="Heading3"/>
      </w:pPr>
      <w:r>
        <w:t>What is cibinetide?</w:t>
      </w:r>
    </w:p>
    <w:p>
      <w:r>
        <w:t>Cibinetide is another name for ARA-290.</w:t>
      </w:r>
    </w:p>
    <w:p>
      <w:pPr>
        <w:pStyle w:val="Heading3"/>
      </w:pPr>
      <w:r>
        <w:t>Is ARA-290 the same as erythropoietin?</w:t>
      </w:r>
    </w:p>
    <w:p>
      <w:r>
        <w:t>No. It is a distinct peptide designed around a tissue-protective research rationale.</w:t>
      </w:r>
    </w:p>
    <w:p>
      <w:pPr>
        <w:pStyle w:val="Heading3"/>
      </w:pPr>
      <w:r>
        <w:t>Has it been studied in humans?</w:t>
      </w:r>
    </w:p>
    <w:p>
      <w:r>
        <w:t>Yes. Early studies include patients with sarcoidosis-associated small fibre neuropathy.</w:t>
      </w:r>
    </w:p>
    <w:p>
      <w:pPr>
        <w:pStyle w:val="Heading3"/>
      </w:pPr>
      <w:r>
        <w:t>Does corneal nerve density prove all nerves regenerate?</w:t>
      </w:r>
    </w:p>
    <w:p>
      <w:r>
        <w:t>No. It is a specific structural measurement.</w:t>
      </w:r>
    </w:p>
    <w:p>
      <w:pPr>
        <w:pStyle w:val="Heading3"/>
      </w:pPr>
      <w:r>
        <w:t>Is ARA-290 proven for every type of pain?</w:t>
      </w:r>
    </w:p>
    <w:p>
      <w:r>
        <w:t>No. Condition-specific findings do not establish a general pain treatment.</w:t>
      </w:r>
    </w:p>
    <w:p>
      <w:pPr>
        <w:pStyle w:val="Heading3"/>
      </w:pPr>
      <w:r>
        <w:t>Is it equivalent to BPC-157 or TB-500?</w:t>
      </w:r>
    </w:p>
    <w:p>
      <w:r>
        <w:t>No. These are different molecules with different research programmes.</w:t>
      </w:r>
    </w:p>
    <w:p>
      <w:pPr>
        <w:pStyle w:val="Heading3"/>
      </w:pPr>
      <w:r>
        <w:t>Where can I find ARA-290 research papers?</w:t>
      </w:r>
    </w:p>
    <w:p>
      <w:r>
        <w:t xml:space="preserve">Follow the original-source links above and search the compound name on </w:t>
      </w:r>
      <w:hyperlink r:id="rId14">
        <w:r>
          <w:rPr>
            <w:color w:val="146B73"/>
          </w:rPr>
          <w:t>PubMed</w:t>
        </w:r>
      </w:hyperlink>
      <w:r>
        <w:t>. Check the exact molecule, population and outcome in each publication.</w:t>
      </w:r>
    </w:p>
    <w:p>
      <w:pPr>
        <w:pStyle w:val="Heading2"/>
      </w:pPr>
      <w:r>
        <w:t>Explore PEPLAB Research</w:t>
      </w:r>
    </w:p>
    <w:p>
      <w:r>
        <w:t xml:space="preserve">Visit our </w:t>
      </w:r>
      <w:hyperlink r:id="rId9">
        <w:r>
          <w:rPr>
            <w:color w:val="146B73"/>
          </w:rPr>
          <w:t>Research Overview</w:t>
        </w:r>
      </w:hyperlink>
      <w:r>
        <w:t xml:space="preserve"> for guidance on scientific evidence and laboratory testing. Select Find Your Compound to explore other compound-specific research pages.</w:t>
      </w:r>
    </w:p>
    <w:p>
      <w:r/>
      <w:r>
        <w:rPr>
          <w:b/>
        </w:rPr>
        <w:t>Buttons:</w:t>
      </w:r>
      <w:r>
        <w:t xml:space="preserve"> Research Overview | Find Your Compound</w:t>
      </w:r>
    </w:p>
    <w:p>
      <w:r>
        <w:t>WEBSITE COPY END</w:t>
      </w:r>
    </w:p>
    <w:p>
      <w:r>
        <w:br w:type="page"/>
      </w:r>
    </w:p>
    <w:p>
      <w:pPr>
        <w:pStyle w:val="Heading2"/>
      </w:pPr>
      <w:r>
        <w:t>3 Developer and editorial notes</w:t>
      </w:r>
    </w:p>
    <w:p>
      <w:pPr>
        <w:pStyle w:val="Heading2"/>
      </w:pPr>
      <w:r>
        <w:t>SEO and AI search implementation</w:t>
      </w:r>
    </w:p>
    <w:p>
      <w:pPr>
        <w:pStyle w:val="ListBullet"/>
      </w:pPr>
      <w:r>
        <w:t>Match the Retatrutide research page layout and use one H1. Preserve H2 sections, H3 subsections, tables and visible FAQs.</w:t>
      </w:r>
    </w:p>
    <w:p>
      <w:pPr>
        <w:pStyle w:val="ListBullet"/>
      </w:pPr>
      <w:r>
        <w:t>Set the final canonical URL, include the published page in the sitemap and link it from the research hub.</w:t>
      </w:r>
    </w:p>
    <w:p>
      <w:pPr>
        <w:pStyle w:val="ListBullet"/>
      </w:pPr>
      <w:r>
        <w:t>Keep the full article crawlable as HTML, including FAQs and references. Check indexing eligibility and rendered content in Search Console.</w:t>
      </w:r>
    </w:p>
    <w:p>
      <w:pPr>
        <w:pStyle w:val="ListBullet"/>
      </w:pPr>
      <w:r>
        <w:t>Use accurate Article and BreadcrumbList structured data when supported. Match markup to visible content and actual authorship; do not invent credentials or reviews.</w:t>
      </w:r>
    </w:p>
    <w:p>
      <w:pPr>
        <w:pStyle w:val="ListBullet"/>
      </w:pPr>
      <w:r>
        <w:t>Keep research references next to claims and distinguish biological mechanisms from demonstrated clinical outcomes. Google does not require special AI schema for AI Overviews or AI Mode; search rankings and AI citations are not guaranteed.</w:t>
      </w:r>
    </w:p>
    <w:p>
      <w:pPr>
        <w:pStyle w:val="ListBullet"/>
      </w:pPr>
      <w:r>
        <w:t>Show an actual publication or review date. Only credit a medical reviewer if that review has taken place.</w:t>
      </w:r>
    </w:p>
    <w:p>
      <w:r/>
      <w:hyperlink r:id="rId15">
        <w:r>
          <w:rPr>
            <w:color w:val="146B73"/>
          </w:rPr>
          <w:t>Google guidance on AI features and websites</w:t>
        </w:r>
      </w:hyperlink>
      <w:r/>
    </w:p>
    <w:p>
      <w:pPr>
        <w:pStyle w:val="Heading2"/>
      </w:pPr>
      <w:r>
        <w:t>Links and product details</w:t>
      </w:r>
    </w:p>
    <w:p>
      <w:r>
        <w:t>Confirm the Research Overview destination and reuse the existing Find Your Compound target. Verify the Quality &amp; Testing and COA routes. Enable related compound links only after their pages exist.</w:t>
      </w:r>
    </w:p>
    <w:p>
      <w:r>
        <w:t>Do not add purity percentages, batch numbers, vial quantities, shelf life or storage claims without supporting product documentation. A link to the COA directory does not imply that a matching batch report is available.</w:t>
      </w:r>
    </w:p>
    <w:p>
      <w:pPr>
        <w:pStyle w:val="Heading2"/>
      </w:pPr>
      <w:r>
        <w:t>Evidence distinction</w:t>
      </w:r>
    </w:p>
    <w:p>
      <w:r>
        <w:t>Keep the sarcoidosis population explicit. Avoid claiming general pain relief, proven nerve regeneration throughout the body, or an equivalent replacement for other peptides.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eplab.com.au/research" TargetMode="External"/><Relationship Id="rId10" Type="http://schemas.openxmlformats.org/officeDocument/2006/relationships/hyperlink" Target="https://pubmed.ncbi.nlm.nih.gov/23168581/" TargetMode="External"/><Relationship Id="rId11" Type="http://schemas.openxmlformats.org/officeDocument/2006/relationships/hyperlink" Target="https://pubmed.ncbi.nlm.nih.gov/24136731/" TargetMode="External"/><Relationship Id="rId12" Type="http://schemas.openxmlformats.org/officeDocument/2006/relationships/hyperlink" Target="https://peplab.com.au/standards" TargetMode="External"/><Relationship Id="rId13" Type="http://schemas.openxmlformats.org/officeDocument/2006/relationships/hyperlink" Target="https://peplab.com.au/coa" TargetMode="External"/><Relationship Id="rId14" Type="http://schemas.openxmlformats.org/officeDocument/2006/relationships/hyperlink" Target="https://pubmed.ncbi.nlm.nih.gov/" TargetMode="External"/><Relationship Id="rId15" Type="http://schemas.openxmlformats.org/officeDocument/2006/relationships/hyperlink" Target="https://developers.google.com/search/docs/appearance/ai-fea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PEPLAB ARA-290 Developer Handoff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