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CJC-1295 No DAC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research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CJC-1295 No DAC Research Overview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CJC-1295 No DAC and modified GRF research, how it differs from DAC, GHRH signalling, evidence limitations and peptide identity testing.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https://peplab.com.au/research/compounds/cjc-1295-no-dac</w:t>
      </w:r>
    </w:p>
    <w:p>
      <w:pPr>
        <w:pStyle w:val="ListBullet"/>
      </w:pPr>
      <w:r/>
      <w:r>
        <w:rPr>
          <w:b/>
        </w:rPr>
        <w:t>Primary topic:</w:t>
      </w:r>
      <w:r>
        <w:t xml:space="preserve"> CJC-1295 No DAC research</w:t>
      </w:r>
    </w:p>
    <w:p>
      <w:r>
        <w:br w:type="page"/>
      </w:r>
    </w:p>
    <w:p>
      <w:r>
        <w:t>2 WEBSITE COPY START</w:t>
      </w:r>
    </w:p>
    <w:p>
      <w:r>
        <w:t>GHRH ANALOGUES / ENDOCRINE RESEARCH</w:t>
      </w:r>
    </w:p>
    <w:p>
      <w:pPr>
        <w:pStyle w:val="Heading1"/>
      </w:pPr>
      <w:r>
        <w:t>CJC-1295 No DAC Research Overview</w:t>
      </w:r>
    </w:p>
    <w:p>
      <w:pPr>
        <w:pStyle w:val="Heading2"/>
      </w:pPr>
      <w:r>
        <w:t>Modified GRF and Growth Hormone Signalling Research</w:t>
      </w:r>
    </w:p>
    <w:p>
      <w:r>
        <w:t>CJC-1295 No DAC is a research-market name commonly used for modified GRF (1–29), a growth hormone-releasing hormone analogue without the albumin-binding DAC group. Exact chemical identity matters because widely cited long-acting CJC-1295 human trials concern a different preparation.</w:t>
      </w:r>
    </w:p>
    <w:p>
      <w:r>
        <w:t xml:space="preserve">For guidance on evaluating evidence, visit PEPLAB’s </w:t>
      </w:r>
      <w:hyperlink r:id="rId9">
        <w:r>
          <w:rPr>
            <w:color w:val="146B73"/>
          </w:rPr>
          <w:t>Research Overview</w:t>
        </w:r>
      </w:hyperlink>
      <w:r>
        <w:t>.</w:t>
      </w:r>
    </w:p>
    <w:p>
      <w:pPr>
        <w:pStyle w:val="Heading2"/>
      </w:pPr>
      <w:r>
        <w:t>What Is CJC-1295 No DAC?</w:t>
      </w:r>
    </w:p>
    <w:p>
      <w:r>
        <w:t>Modified GRF (1–29) is a 29-residue GHRH-related peptide with amino-acid substitutions intended to alter stability and activity. No DAC indicates the absence of the albumin-binding modification. A supplier name alone should not substitute for a documented sequence and terminal chemistry.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CJC-1295 No DAC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Common associated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Modified GRF (1–29)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GHRH analogue peptide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Key distinction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 albumin-binding DAC group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areas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Receptor signalling and peptide stability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Evidence limitation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DAC human trial results do not establish No DAC outcomes</w:t>
            </w:r>
          </w:p>
        </w:tc>
      </w:tr>
    </w:tbl>
    <w:p>
      <w:pPr>
        <w:pStyle w:val="Heading2"/>
      </w:pPr>
      <w:r>
        <w:t>How Does CJC-1295 No DAC Work?</w:t>
      </w:r>
    </w:p>
    <w:p>
      <w:pPr>
        <w:pStyle w:val="Heading3"/>
      </w:pPr>
      <w:r>
        <w:t>GHRH Receptor Activity</w:t>
      </w:r>
    </w:p>
    <w:p>
      <w:r>
        <w:t>The research rationale is stimulation of pituitary growth hormone release through the GHRH receptor. This is a different receptor pathway from ghrelin-receptor agonists such as ipamorelin.</w:t>
      </w:r>
    </w:p>
    <w:p>
      <w:pPr>
        <w:pStyle w:val="Heading3"/>
      </w:pPr>
      <w:r>
        <w:t>Sequence and Stability</w:t>
      </w:r>
    </w:p>
    <w:p>
      <w:r>
        <w:t>Changes to amino-acid sequence can affect degradation and receptor activity. The degree of change depends on the exact analogue and experimental system.</w:t>
      </w:r>
    </w:p>
    <w:p>
      <w:pPr>
        <w:pStyle w:val="Heading3"/>
      </w:pPr>
      <w:r>
        <w:t>Exposure and Outcome</w:t>
      </w:r>
    </w:p>
    <w:p>
      <w:r>
        <w:t>Removing an exposure-extending group changes the molecule. A shorter exposure profile does not automatically establish better physiological effects or fewer adverse events.</w:t>
      </w:r>
    </w:p>
    <w:p>
      <w:pPr>
        <w:pStyle w:val="Heading2"/>
      </w:pPr>
      <w:r>
        <w:t>CJC-1295 No DAC Research Findings</w:t>
      </w:r>
    </w:p>
    <w:p>
      <w:pPr>
        <w:pStyle w:val="Heading3"/>
      </w:pPr>
      <w:r>
        <w:t>Analogue Design Research</w:t>
      </w:r>
    </w:p>
    <w:p>
      <w:r>
        <w:t>A 2002 study examined modified GHRH peptides with increased resistance to enzymatic degradation and tested GH release in rats. It provides related analogue-design evidence, not a human trial validating every product labelled CJC-1295 No DAC.</w:t>
      </w:r>
    </w:p>
    <w:p>
      <w:r/>
      <w:hyperlink r:id="rId10">
        <w:r>
          <w:rPr>
            <w:color w:val="146B73"/>
          </w:rPr>
          <w:t>Read the analogue study</w:t>
        </w:r>
      </w:hyperlink>
      <w:r>
        <w:t>.</w:t>
      </w:r>
    </w:p>
    <w:p>
      <w:pPr>
        <w:pStyle w:val="Heading3"/>
      </w:pPr>
      <w:r>
        <w:t>Why the DAC Distinction Matters</w:t>
      </w:r>
    </w:p>
    <w:p>
      <w:r>
        <w:t>The 2005 CJC-1295 development paper examined albumin bioconjugates and receptor activity in rats. It explains the rationale for adding an exposure-extending modification and why the final molecule must be identified precisely.</w:t>
      </w:r>
    </w:p>
    <w:p>
      <w:r/>
      <w:hyperlink r:id="rId11">
        <w:r>
          <w:rPr>
            <w:color w:val="146B73"/>
          </w:rPr>
          <w:t>Read the development paper</w:t>
        </w:r>
      </w:hyperlink>
      <w:r>
        <w:t>.</w:t>
      </w:r>
    </w:p>
    <w:p>
      <w:pPr>
        <w:pStyle w:val="Heading3"/>
      </w:pPr>
      <w:r>
        <w:t>Interpreting Human CJC-1295 Papers</w:t>
      </w:r>
    </w:p>
    <w:p>
      <w:r>
        <w:t>The 2006 controlled human publication investigated the long-acting CJC-1295 analogue. Its multi-day exposure and sustained hormone responses should not be presented as direct clinical evidence for modified GRF without DAC.</w:t>
      </w:r>
    </w:p>
    <w:p>
      <w:r/>
      <w:hyperlink r:id="rId12">
        <w:r>
          <w:rPr>
            <w:color w:val="146B73"/>
          </w:rPr>
          <w:t>Read the long-acting comparator study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investigate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Analogue design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Stability and GH release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Exact sequence and species matter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DAC comparison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Albumin-binding modification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Different pharmacokinetic identity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Human outcomes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Often cited long-acting trials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direct proof for No DAC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The sources cited here do not establish comprehensive human safety or reliable sleep, recovery or body-composition benefits for the exact No DAC material. Related-peptide evidence cannot determine its rate of adverse events. Adding ipamorelin creates a separate combination question, including interactions and formulation stability.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CJC-1295 No DAC Testing and COAs</w:t>
      </w:r>
    </w:p>
    <w:p>
      <w:r>
        <w:t>Analytical methods answer different questions. Review the compound name, sample or batch identifier, laboratory, testing date, methods and reported results.</w:t>
      </w:r>
    </w:p>
    <w:p>
      <w:pPr>
        <w:pStyle w:val="ListBullet"/>
      </w:pPr>
      <w:r/>
      <w:r>
        <w:rPr>
          <w:b/>
        </w:rPr>
        <w:t>Purity:</w:t>
      </w:r>
      <w:r>
        <w:t xml:space="preserve"> Chromatography measures the relative proportions of detected components under specified conditions.</w:t>
      </w:r>
    </w:p>
    <w:p>
      <w:pPr>
        <w:pStyle w:val="ListBullet"/>
      </w:pPr>
      <w:r/>
      <w:r>
        <w:rPr>
          <w:b/>
        </w:rPr>
        <w:t>Identity:</w:t>
      </w:r>
      <w:r>
        <w:t xml:space="preserve"> Mass spectrometry and complementary methods assess whether a sample is consistent with the stated molecule.</w:t>
      </w:r>
    </w:p>
    <w:p>
      <w:pPr>
        <w:pStyle w:val="ListBullet"/>
      </w:pPr>
      <w:r/>
      <w:r>
        <w:rPr>
          <w:b/>
        </w:rPr>
        <w:t>Content:</w:t>
      </w:r>
      <w:r>
        <w:t xml:space="preserve"> A validated quantitative assay measures the amount of the specified material.</w:t>
      </w:r>
    </w:p>
    <w:p>
      <w:r>
        <w:t>Require a documented sequence, terminal chemistry and confirmation that the DAC modification is absent. Distinguish modified GRF from sermorelin, DAC-containing CJC-1295 and any blended preparation. Identity, quantitative content and functional activity are separate measurements.</w:t>
      </w:r>
    </w:p>
    <w:p>
      <w:r>
        <w:t xml:space="preserve">Purity does not establish sterility, endotoxin status or clinical effectiveness. Explore PEPLAB’s </w:t>
      </w:r>
      <w:hyperlink r:id="rId13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4">
        <w:r>
          <w:rPr>
            <w:color w:val="146B73"/>
          </w:rPr>
          <w:t>COA Results</w:t>
        </w:r>
      </w:hyperlink>
      <w:r>
        <w:t>. Only treat a property as tested when the relevant measurement is reported.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Is No DAC the same as modified GRF?</w:t>
      </w:r>
    </w:p>
    <w:p>
      <w:r>
        <w:t>The names are commonly associated, but the actual sequence and analytical specification should confirm the identity.</w:t>
      </w:r>
    </w:p>
    <w:p>
      <w:pPr>
        <w:pStyle w:val="Heading3"/>
      </w:pPr>
      <w:r>
        <w:t>Does No DAC contain the albumin-binding group?</w:t>
      </w:r>
    </w:p>
    <w:p>
      <w:r>
        <w:t>No. That absence is the distinction conveyed by the name.</w:t>
      </w:r>
    </w:p>
    <w:p>
      <w:pPr>
        <w:pStyle w:val="Heading3"/>
      </w:pPr>
      <w:r>
        <w:t>Is it identical to sermorelin?</w:t>
      </w:r>
    </w:p>
    <w:p>
      <w:r>
        <w:t>No. Modified GRF contains sequence changes relative to the unmodified GHRH fragment.</w:t>
      </w:r>
    </w:p>
    <w:p>
      <w:pPr>
        <w:pStyle w:val="Heading3"/>
      </w:pPr>
      <w:r>
        <w:t>Do CJC-1295 human trials automatically apply?</w:t>
      </w:r>
    </w:p>
    <w:p>
      <w:r>
        <w:t>No. Check whether the publication studied the long-acting DAC-containing analogue.</w:t>
      </w:r>
    </w:p>
    <w:p>
      <w:pPr>
        <w:pStyle w:val="Heading3"/>
      </w:pPr>
      <w:r>
        <w:t>Is a precise human half-life established here?</w:t>
      </w:r>
    </w:p>
    <w:p>
      <w:r>
        <w:t>No. The sources selected here do not establish a validated human half-life for the exact No DAC research material.</w:t>
      </w:r>
    </w:p>
    <w:p>
      <w:pPr>
        <w:pStyle w:val="Heading3"/>
      </w:pPr>
      <w:r>
        <w:t>Does this page validate a blend with ipamorelin?</w:t>
      </w:r>
    </w:p>
    <w:p>
      <w:r>
        <w:t>No. Evidence for the exact combination, ratio and preparation is needed separately.</w:t>
      </w:r>
    </w:p>
    <w:p>
      <w:pPr>
        <w:pStyle w:val="Heading3"/>
      </w:pPr>
      <w:r>
        <w:t>Where can I find CJC-1295 No DAC research papers?</w:t>
      </w:r>
    </w:p>
    <w:p>
      <w:r>
        <w:t xml:space="preserve">Follow the original-source links above and search the compound name on </w:t>
      </w:r>
      <w:hyperlink r:id="rId15">
        <w:r>
          <w:rPr>
            <w:color w:val="146B73"/>
          </w:rPr>
          <w:t>PubMed</w:t>
        </w:r>
      </w:hyperlink>
      <w:r>
        <w:t>. Check the exact molecule, population and outcome in each publication.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compound-specific research pages.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6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Confirm the product’s exact molecular specification before publishing. Use No DAC consistently. Label the linked DAC trial as comparator context; do not convert its findings into No DAC efficacy claims or an unsupported fixed half-life.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pubmed.ncbi.nlm.nih.gov/12148777/" TargetMode="External"/><Relationship Id="rId11" Type="http://schemas.openxmlformats.org/officeDocument/2006/relationships/hyperlink" Target="https://pubmed.ncbi.nlm.nih.gov/15817669/" TargetMode="External"/><Relationship Id="rId12" Type="http://schemas.openxmlformats.org/officeDocument/2006/relationships/hyperlink" Target="https://pubmed.ncbi.nlm.nih.gov/16352683/" TargetMode="External"/><Relationship Id="rId13" Type="http://schemas.openxmlformats.org/officeDocument/2006/relationships/hyperlink" Target="https://peplab.com.au/standards" TargetMode="External"/><Relationship Id="rId14" Type="http://schemas.openxmlformats.org/officeDocument/2006/relationships/hyperlink" Target="https://peplab.com.au/coa" TargetMode="External"/><Relationship Id="rId15" Type="http://schemas.openxmlformats.org/officeDocument/2006/relationships/hyperlink" Target="https://pubmed.ncbi.nlm.nih.gov/" TargetMode="External"/><Relationship Id="rId16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CJC-1295 No DAC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