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Cagrilintide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Cagrilintide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cagrilintide research on amylin signalling and body weight, including clinical findings, CagriSema distinctions, FAQs and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https://peplab.com.au/research/compounds/cagrilintide</w:t>
      </w:r>
    </w:p>
    <w:p>
      <w:pPr>
        <w:pStyle w:val="ListBullet"/>
      </w:pPr>
      <w:r/>
      <w:r>
        <w:rPr>
          <w:b/>
        </w:rPr>
        <w:t>Primary topic:</w:t>
      </w:r>
      <w:r>
        <w:t xml:space="preserve"> Cagrilintide research</w:t>
      </w:r>
    </w:p>
    <w:p>
      <w:r>
        <w:br w:type="page"/>
      </w:r>
    </w:p>
    <w:p>
      <w:r>
        <w:t>2 WEBSITE COPY START</w:t>
      </w:r>
    </w:p>
    <w:p>
      <w:r>
        <w:t>AMYLIN ANALOGUES / METABOLIC RESEARCH</w:t>
      </w:r>
    </w:p>
    <w:p>
      <w:pPr>
        <w:pStyle w:val="Heading1"/>
      </w:pPr>
      <w:r>
        <w:t>Cagrilintide Research Overview</w:t>
      </w:r>
    </w:p>
    <w:p>
      <w:pPr>
        <w:pStyle w:val="Heading2"/>
      </w:pPr>
      <w:r>
        <w:t>Amylin Signalling and Body Weight Research</w:t>
      </w:r>
    </w:p>
    <w:p>
      <w:r>
        <w:t>Cagrilintide is a long-acting amylin analogue studied for body-weight management. Human research includes cagrilintide alone and coadministration with semaglutide, a combination often called CagriSema. The single-agent and combination findings answer different questions.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Cagrilintide?</w:t>
      </w:r>
    </w:p>
    <w:p>
      <w:r>
        <w:t>Amylin is a pancreatic hormone involved in satiety. Cagrilintide is a modified peptide developed to provide prolonged activity at amylin-related receptor systems. It is chemically and pharmacologically distinct from semaglutide, which is a GLP-1 receptor agonist.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Cagrilintide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code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AM833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Long-acting amylin analogue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Satiety, body weight and metabolic outcomes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Clinical context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Single-agent and semaglutide combination trials</w:t>
            </w:r>
          </w:p>
        </w:tc>
      </w:tr>
    </w:tbl>
    <w:p>
      <w:pPr>
        <w:pStyle w:val="Heading2"/>
      </w:pPr>
      <w:r>
        <w:t>How Does Cagrilintide Work?</w:t>
      </w:r>
    </w:p>
    <w:p>
      <w:pPr>
        <w:pStyle w:val="Heading3"/>
      </w:pPr>
      <w:r>
        <w:t>Amylin Pathways</w:t>
      </w:r>
    </w:p>
    <w:p>
      <w:r>
        <w:t>Cagrilintide was developed to engage amylin receptors. The discovery programme also characterised calcitonin-receptor activity; receptor profiles should be described using the exact experimental evidence.</w:t>
      </w:r>
    </w:p>
    <w:p>
      <w:pPr>
        <w:pStyle w:val="Heading3"/>
      </w:pPr>
      <w:r>
        <w:t>Satiety Research</w:t>
      </w:r>
    </w:p>
    <w:p>
      <w:r>
        <w:t>Amylin-related signalling participates in fullness and food-intake regulation. Clinical trials measure whether this rationale translates into changes in body weight and tolerability.</w:t>
      </w:r>
    </w:p>
    <w:p>
      <w:pPr>
        <w:pStyle w:val="Heading3"/>
      </w:pPr>
      <w:r>
        <w:t>Combination Research</w:t>
      </w:r>
    </w:p>
    <w:p>
      <w:r>
        <w:t>Cagrilintide and semaglutide act through different hormone systems. Combination efficacy needs direct testing and cannot be inferred simply by adding the effects of each agent.</w:t>
      </w:r>
    </w:p>
    <w:p>
      <w:pPr>
        <w:pStyle w:val="Heading2"/>
      </w:pPr>
      <w:r>
        <w:t>Cagrilintide Research Findings</w:t>
      </w:r>
    </w:p>
    <w:p>
      <w:pPr>
        <w:pStyle w:val="Heading3"/>
      </w:pPr>
      <w:r>
        <w:t>Discovery and Development</w:t>
      </w:r>
    </w:p>
    <w:p>
      <w:r>
        <w:t>A 2021 publication described the design and preclinical characterisation of long-acting cagrilintide. It explains the molecular development programme rather than predicting an individual weight-loss outcome.</w:t>
      </w:r>
    </w:p>
    <w:p>
      <w:r/>
      <w:hyperlink r:id="rId10">
        <w:r>
          <w:rPr>
            <w:color w:val="146B73"/>
          </w:rPr>
          <w:t>Read the discovery paper</w:t>
        </w:r>
      </w:hyperlink>
      <w:r>
        <w:t>.</w:t>
      </w:r>
    </w:p>
    <w:p>
      <w:pPr>
        <w:pStyle w:val="Heading3"/>
      </w:pPr>
      <w:r>
        <w:t>Phase 2 Single-Agent Findings</w:t>
      </w:r>
    </w:p>
    <w:p>
      <w:r>
        <w:t>A 2021 trial randomised 706 adults with overweight or obesity without diabetes. At 26 weeks, the highest-dose cagrilintide group had a mean weight reduction of 10.8%, versus 3.0% with placebo, using the trial-product analysis that assumed treatment adherence. These are group averages under a defined protocol.</w:t>
      </w:r>
    </w:p>
    <w:p>
      <w:r/>
      <w:hyperlink r:id="rId11">
        <w:r>
          <w:rPr>
            <w:color w:val="146B73"/>
          </w:rPr>
          <w:t>Read the Phase 2 study</w:t>
        </w:r>
      </w:hyperlink>
      <w:r>
        <w:t>.</w:t>
      </w:r>
    </w:p>
    <w:p>
      <w:pPr>
        <w:pStyle w:val="Heading3"/>
      </w:pPr>
      <w:r>
        <w:t>Phase 3 Combination Research</w:t>
      </w:r>
    </w:p>
    <w:p>
      <w:r>
        <w:t>The 2025 REDEFINE 1 publication studied cagrilintide–semaglutide and included single-agent comparison groups. The headline combination-versus-placebo findings concern CagriSema; they must not be relabelled as results for cagrilintide alone. Study population, duration and analysis method matter when comparing trials.</w:t>
      </w:r>
    </w:p>
    <w:p>
      <w:r/>
      <w:hyperlink r:id="rId12">
        <w:r>
          <w:rPr>
            <w:color w:val="146B73"/>
          </w:rPr>
          <w:t>Read the REDEFINE 1 publication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Single agent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Weight change over 26 weeks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Trial analysis and population matter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Combination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Cagrilintide with semaglutide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the same as cagrilintide alone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Mechanism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Amylin-related receptor activity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GLP-1 receptor agonism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Common adverse events in the Phase 2 study included nausea, constipation, diarrhoea and administration-site reactions. Some participants stopped treatment because of adverse events. Trial findings relate to the study preparation and selected participants; they do not establish equivalent safety or performance for other materials.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Cagrilintide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modified peptide structure and expected mass rather than treating native amylin as an interchangeable reference. Content testing should measure cagrilintide specifically. For a combination, each ingredient needs separate identification and quantification.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cagrilintide a GLP-1 agonist?</w:t>
      </w:r>
    </w:p>
    <w:p>
      <w:r>
        <w:t>No. It is an amylin analogue; semaglutide is a GLP-1 receptor agonist.</w:t>
      </w:r>
    </w:p>
    <w:p>
      <w:pPr>
        <w:pStyle w:val="Heading3"/>
      </w:pPr>
      <w:r>
        <w:t>What is CagriSema?</w:t>
      </w:r>
    </w:p>
    <w:p>
      <w:r>
        <w:t>It is the name used for the cagrilintide–semaglutide combination studied in clinical trials.</w:t>
      </w:r>
    </w:p>
    <w:p>
      <w:pPr>
        <w:pStyle w:val="Heading3"/>
      </w:pPr>
      <w:r>
        <w:t>Has cagrilintide been studied alone?</w:t>
      </w:r>
    </w:p>
    <w:p>
      <w:r>
        <w:t>Yes. The cited Phase 2 trial evaluated cagrilintide alone alongside comparator groups.</w:t>
      </w:r>
    </w:p>
    <w:p>
      <w:pPr>
        <w:pStyle w:val="Heading3"/>
      </w:pPr>
      <w:r>
        <w:t>What does the 10.8% result mean?</w:t>
      </w:r>
    </w:p>
    <w:p>
      <w:r>
        <w:t>It is the mean reduction at 26 weeks in the highest-dose Phase 2 group under the trial-product analysis, not a guaranteed outcome.</w:t>
      </w:r>
    </w:p>
    <w:p>
      <w:pPr>
        <w:pStyle w:val="Heading3"/>
      </w:pPr>
      <w:r>
        <w:t>Can combination results be assigned to cagrilintide alone?</w:t>
      </w:r>
    </w:p>
    <w:p>
      <w:r>
        <w:t>No. The combination and individual agents require separate interpretation.</w:t>
      </w:r>
    </w:p>
    <w:p>
      <w:pPr>
        <w:pStyle w:val="Heading3"/>
      </w:pPr>
      <w:r>
        <w:t>Are results directly comparable with retatrutide trials?</w:t>
      </w:r>
    </w:p>
    <w:p>
      <w:r>
        <w:t>Separate trials differ in population, duration and analysis. A direct comparison requires an appropriate head-to-head design.</w:t>
      </w:r>
    </w:p>
    <w:p>
      <w:pPr>
        <w:pStyle w:val="Heading3"/>
      </w:pPr>
      <w:r>
        <w:t>Where can I find Cagrilintide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Keep cagrilintide-alone and CagriSema findings separate. Preserve the 26-week duration and trial-product estimand beside the 10.8% figure. Do not claim superiority over other compounds based on unrelated trials.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34288673/" TargetMode="External"/><Relationship Id="rId11" Type="http://schemas.openxmlformats.org/officeDocument/2006/relationships/hyperlink" Target="https://pubmed.ncbi.nlm.nih.gov/34798060/" TargetMode="External"/><Relationship Id="rId12" Type="http://schemas.openxmlformats.org/officeDocument/2006/relationships/hyperlink" Target="https://pubmed.ncbi.nlm.nih.gov/40544433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Cagrilintide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