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PEPLAB Thymosin Alpha-1</w:t>
      </w:r>
    </w:p>
    <w:p>
      <w:r>
        <w:t>Website developer handoff</w:t>
      </w:r>
    </w:p>
    <w:p>
      <w:r>
        <w:t>Build this research page using the existing Retatrutide layout. This document contains SEO fields, complete page copy with clickable research references, and implementation notes. Publish only section 2 as the article.</w:t>
      </w:r>
    </w:p>
    <w:p>
      <w:pPr>
        <w:pStyle w:val="Heading2"/>
      </w:pPr>
      <w:r>
        <w:t>1 SEO settings</w:t>
      </w:r>
    </w:p>
    <w:p>
      <w:pPr>
        <w:pStyle w:val="ListBullet"/>
      </w:pPr>
      <w:r/>
      <w:r>
        <w:rPr>
          <w:b/>
        </w:rPr>
        <w:t>Title tag:</w:t>
      </w:r>
      <w:r>
        <w:t xml:space="preserve"> Thymosin Alpha-1 Research Overview | PEPLAB</w:t>
      </w:r>
    </w:p>
    <w:p>
      <w:pPr>
        <w:pStyle w:val="ListBullet"/>
      </w:pPr>
      <w:r/>
      <w:r>
        <w:rPr>
          <w:b/>
        </w:rPr>
        <w:t>Meta description:</w:t>
      </w:r>
      <w:r>
        <w:t xml:space="preserve"> Explore thymosin alpha-1 research on immune modulation, sepsis and clinical outcomes, including trial limitations, FAQs and peptide testing guidance.</w:t>
      </w:r>
    </w:p>
    <w:p>
      <w:pPr>
        <w:pStyle w:val="ListBullet"/>
      </w:pPr>
      <w:r/>
      <w:r>
        <w:rPr>
          <w:b/>
        </w:rPr>
        <w:t>Suggested URL:</w:t>
      </w:r>
      <w:r>
        <w:t xml:space="preserve"> https://peplab.com.au/research/compounds/thymosin-alpha-1</w:t>
      </w:r>
    </w:p>
    <w:p>
      <w:pPr>
        <w:pStyle w:val="ListBullet"/>
      </w:pPr>
      <w:r/>
      <w:r>
        <w:rPr>
          <w:b/>
        </w:rPr>
        <w:t>Primary topic:</w:t>
      </w:r>
      <w:r>
        <w:t xml:space="preserve"> Thymosin Alpha-1 research</w:t>
      </w:r>
    </w:p>
    <w:p>
      <w:r>
        <w:br w:type="page"/>
      </w:r>
    </w:p>
    <w:p>
      <w:r>
        <w:t>2 WEBSITE COPY START</w:t>
      </w:r>
    </w:p>
    <w:p>
      <w:r>
        <w:t>IMMUNE SIGNALLING / CLINICAL RESEARCH</w:t>
      </w:r>
    </w:p>
    <w:p>
      <w:pPr>
        <w:pStyle w:val="Heading1"/>
      </w:pPr>
      <w:r>
        <w:t>Thymosin Alpha-1 Research Overview</w:t>
      </w:r>
    </w:p>
    <w:p>
      <w:pPr>
        <w:pStyle w:val="Heading2"/>
      </w:pPr>
      <w:r>
        <w:t>Immune Modulation and Clinical Outcome Research</w:t>
      </w:r>
    </w:p>
    <w:p>
      <w:r>
        <w:t>Thymosin alpha-1 is a peptide studied for modulation of immune responses. Human research spans several disease settings, but findings depend on the population and clinical outcome. A change in an immune marker does not necessarily produce fewer infections or improved survival.</w:t>
      </w:r>
    </w:p>
    <w:p>
      <w:r>
        <w:t xml:space="preserve">For guidance on evaluating evidence, visit PEPLAB’s </w:t>
      </w:r>
      <w:hyperlink r:id="rId9">
        <w:r>
          <w:rPr>
            <w:color w:val="146B73"/>
          </w:rPr>
          <w:t>Research Overview</w:t>
        </w:r>
      </w:hyperlink>
      <w:r>
        <w:t>.</w:t>
      </w:r>
    </w:p>
    <w:p>
      <w:pPr>
        <w:pStyle w:val="Heading2"/>
      </w:pPr>
      <w:r>
        <w:t>What Is Thymosin Alpha-1?</w:t>
      </w:r>
    </w:p>
    <w:p>
      <w:r>
        <w:t>Thymosin alpha-1 is a 28-amino-acid peptide associated with thymic biology. The synthetic form is also known as thymalfasin. It is distinct from thymosin beta-4, TB-500 and mixed thymic extracts. The correct spelling is thymosin alpha-1.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7344"/>
      </w:tblGrid>
      <w:tr>
        <w:trPr>
          <w:cantSplit/>
          <w:tblHeader/>
        </w:trPr>
        <w:tc>
          <w:tcPr>
            <w:tcW w:type="dxa" w:w="2880"/>
            <w:vAlign w:val="center"/>
            <w:shd w:fill="E8EEF3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/>
            </w:pPr>
            <w:r>
              <w:rPr>
                <w:b/>
                <w:sz w:val="20"/>
              </w:rPr>
              <w:t>Feature</w:t>
            </w:r>
          </w:p>
        </w:tc>
        <w:tc>
          <w:tcPr>
            <w:tcW w:type="dxa" w:w="7344"/>
            <w:vAlign w:val="center"/>
            <w:shd w:fill="E8EEF3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/>
            </w:pPr>
            <w:r>
              <w:rPr>
                <w:b/>
                <w:sz w:val="20"/>
              </w:rPr>
              <w:t>Details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/>
            </w:pPr>
            <w:r>
              <w:rPr>
                <w:b w:val="0"/>
                <w:sz w:val="20"/>
              </w:rPr>
              <w:t>Compound name</w:t>
            </w:r>
          </w:p>
        </w:tc>
        <w:tc>
          <w:tcPr>
            <w:tcW w:type="dxa" w:w="7344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/>
            </w:pPr>
            <w:r>
              <w:rPr>
                <w:b w:val="0"/>
                <w:sz w:val="20"/>
              </w:rPr>
              <w:t>Thymosin alpha-1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/>
            </w:pPr>
            <w:r>
              <w:rPr>
                <w:b w:val="0"/>
                <w:sz w:val="20"/>
              </w:rPr>
              <w:t>Other names</w:t>
            </w:r>
          </w:p>
        </w:tc>
        <w:tc>
          <w:tcPr>
            <w:tcW w:type="dxa" w:w="7344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/>
            </w:pPr>
            <w:r>
              <w:rPr>
                <w:b w:val="0"/>
                <w:sz w:val="20"/>
              </w:rPr>
              <w:t>Tα1; thymalfasin for the synthetic form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/>
            </w:pPr>
            <w:r>
              <w:rPr>
                <w:b w:val="0"/>
                <w:sz w:val="20"/>
              </w:rPr>
              <w:t>Compound type</w:t>
            </w:r>
          </w:p>
        </w:tc>
        <w:tc>
          <w:tcPr>
            <w:tcW w:type="dxa" w:w="7344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/>
            </w:pPr>
            <w:r>
              <w:rPr>
                <w:b w:val="0"/>
                <w:sz w:val="20"/>
              </w:rPr>
              <w:t>28-amino-acid peptide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/>
            </w:pPr>
            <w:r>
              <w:rPr>
                <w:b w:val="0"/>
                <w:sz w:val="20"/>
              </w:rPr>
              <w:t>Research area</w:t>
            </w:r>
          </w:p>
        </w:tc>
        <w:tc>
          <w:tcPr>
            <w:tcW w:type="dxa" w:w="7344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/>
            </w:pPr>
            <w:r>
              <w:rPr>
                <w:b w:val="0"/>
                <w:sz w:val="20"/>
              </w:rPr>
              <w:t>Immune modulation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/>
            </w:pPr>
            <w:r>
              <w:rPr>
                <w:b w:val="0"/>
                <w:sz w:val="20"/>
              </w:rPr>
              <w:t>Evidence discussed</w:t>
            </w:r>
          </w:p>
        </w:tc>
        <w:tc>
          <w:tcPr>
            <w:tcW w:type="dxa" w:w="7344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/>
            </w:pPr>
            <w:r>
              <w:rPr>
                <w:b w:val="0"/>
                <w:sz w:val="20"/>
              </w:rPr>
              <w:t>Condition-specific randomised clinical trials</w:t>
            </w:r>
          </w:p>
        </w:tc>
      </w:tr>
    </w:tbl>
    <w:p>
      <w:pPr>
        <w:pStyle w:val="Heading2"/>
      </w:pPr>
      <w:r>
        <w:t>How Does Thymosin Alpha-1 Work?</w:t>
      </w:r>
    </w:p>
    <w:p>
      <w:pPr>
        <w:pStyle w:val="Heading3"/>
      </w:pPr>
      <w:r>
        <w:t>Immune Cell Responses</w:t>
      </w:r>
    </w:p>
    <w:p>
      <w:r>
        <w:t>Research examines effects on immune signalling and cellular responses. Immune systems are regulated networks, so greater activity in one measurement should not be described as universally stronger immunity.</w:t>
      </w:r>
    </w:p>
    <w:p>
      <w:pPr>
        <w:pStyle w:val="Heading3"/>
      </w:pPr>
      <w:r>
        <w:t>Disease Context</w:t>
      </w:r>
    </w:p>
    <w:p>
      <w:r>
        <w:t>The balance between inflammation and impaired immune function differs between conditions and patients. A finding in intensive care cannot be assumed to apply to healthy people.</w:t>
      </w:r>
    </w:p>
    <w:p>
      <w:pPr>
        <w:pStyle w:val="Heading3"/>
      </w:pPr>
      <w:r>
        <w:t>Clinical Outcomes</w:t>
      </w:r>
    </w:p>
    <w:p>
      <w:r>
        <w:t>Trials measure outcomes such as infected complications and mortality. These endpoints provide a different level of evidence from laboratory immune markers.</w:t>
      </w:r>
    </w:p>
    <w:p>
      <w:pPr>
        <w:pStyle w:val="Heading2"/>
      </w:pPr>
      <w:r>
        <w:t>Thymosin Alpha-1 Research Findings</w:t>
      </w:r>
    </w:p>
    <w:p>
      <w:pPr>
        <w:pStyle w:val="Heading3"/>
      </w:pPr>
      <w:r>
        <w:t>Earlier Sepsis Research</w:t>
      </w:r>
    </w:p>
    <w:p>
      <w:r>
        <w:t>The 2013 ETASS study was a multicentre, single-blind randomised trial in severe sepsis. It contributed early clinical evidence and the rationale for larger, more rigorously blinded studies. Its design and findings should be read alongside subsequent trials.</w:t>
      </w:r>
    </w:p>
    <w:p>
      <w:r/>
      <w:hyperlink r:id="rId10">
        <w:r>
          <w:rPr>
            <w:color w:val="146B73"/>
          </w:rPr>
          <w:t>Read the ETASS trial</w:t>
        </w:r>
      </w:hyperlink>
      <w:r>
        <w:t>.</w:t>
      </w:r>
    </w:p>
    <w:p>
      <w:pPr>
        <w:pStyle w:val="Heading3"/>
      </w:pPr>
      <w:r>
        <w:t>Larger Phase 3 Sepsis Trial</w:t>
      </w:r>
    </w:p>
    <w:p>
      <w:r>
        <w:t>The 2025 TESTS trial enrolled 1,106 adults and found no clear evidence that thymosin alpha-1 reduced 28-day all-cause mortality. A subsequent correction updated some data; the paper should be read with that correction. The overall result does not support a broad survival claim.</w:t>
      </w:r>
    </w:p>
    <w:p>
      <w:r/>
      <w:hyperlink r:id="rId11">
        <w:r>
          <w:rPr>
            <w:color w:val="146B73"/>
          </w:rPr>
          <w:t>Read the TESTS trial</w:t>
        </w:r>
      </w:hyperlink>
      <w:r>
        <w:t xml:space="preserve"> and the </w:t>
      </w:r>
      <w:hyperlink r:id="rId12">
        <w:r>
          <w:rPr>
            <w:color w:val="146B73"/>
          </w:rPr>
          <w:t>published correction</w:t>
        </w:r>
      </w:hyperlink>
      <w:r>
        <w:t>.</w:t>
      </w:r>
    </w:p>
    <w:p>
      <w:pPr>
        <w:pStyle w:val="Heading3"/>
      </w:pPr>
      <w:r>
        <w:t>Acute Pancreatitis Trial</w:t>
      </w:r>
    </w:p>
    <w:p>
      <w:r>
        <w:t>A 2022 randomised, double-blind trial involving 508 patients with predicted severe acute necrotising pancreatitis did not find a reduction in infected pancreatic necrosis during the index admission. This illustrates why immune-related mechanisms do not guarantee better clinical outcomes.</w:t>
      </w:r>
    </w:p>
    <w:p>
      <w:r/>
      <w:hyperlink r:id="rId13">
        <w:r>
          <w:rPr>
            <w:color w:val="146B73"/>
          </w:rPr>
          <w:t>Read the pancreatitis trial</w:t>
        </w:r>
      </w:hyperlink>
      <w:r>
        <w:t>.</w:t>
      </w:r>
    </w:p>
    <w:p>
      <w:pPr>
        <w:pStyle w:val="Heading2"/>
      </w:pPr>
      <w:r>
        <w:t>Research Findings at a Glance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800"/>
        <w:gridCol w:w="4032"/>
        <w:gridCol w:w="4392"/>
      </w:tblGrid>
      <w:tr>
        <w:trPr>
          <w:cantSplit/>
          <w:tblHeader/>
        </w:trPr>
        <w:tc>
          <w:tcPr>
            <w:tcW w:type="dxa" w:w="1800"/>
            <w:vAlign w:val="center"/>
            <w:shd w:fill="E8EEF3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/>
            </w:pPr>
            <w:r>
              <w:rPr>
                <w:b/>
                <w:sz w:val="20"/>
              </w:rPr>
              <w:t>Research area</w:t>
            </w:r>
          </w:p>
        </w:tc>
        <w:tc>
          <w:tcPr>
            <w:tcW w:type="dxa" w:w="4032"/>
            <w:vAlign w:val="center"/>
            <w:shd w:fill="E8EEF3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/>
            </w:pPr>
            <w:r>
              <w:rPr>
                <w:b/>
                <w:sz w:val="20"/>
              </w:rPr>
              <w:t>What studies investigate</w:t>
            </w:r>
          </w:p>
        </w:tc>
        <w:tc>
          <w:tcPr>
            <w:tcW w:type="dxa" w:w="4392"/>
            <w:vAlign w:val="center"/>
            <w:shd w:fill="E8EEF3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/>
            </w:pPr>
            <w:r>
              <w:rPr>
                <w:b/>
                <w:sz w:val="20"/>
              </w:rPr>
              <w:t>Important distinction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/>
            </w:pPr>
            <w:r>
              <w:rPr>
                <w:b w:val="0"/>
                <w:sz w:val="20"/>
              </w:rPr>
              <w:t>Immune biology</w:t>
            </w:r>
          </w:p>
        </w:tc>
        <w:tc>
          <w:tcPr>
            <w:tcW w:type="dxa" w:w="4032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/>
            </w:pPr>
            <w:r>
              <w:rPr>
                <w:b w:val="0"/>
                <w:sz w:val="20"/>
              </w:rPr>
              <w:t>Cell responses and signalling</w:t>
            </w:r>
          </w:p>
        </w:tc>
        <w:tc>
          <w:tcPr>
            <w:tcW w:type="dxa" w:w="4392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/>
            </w:pPr>
            <w:r>
              <w:rPr>
                <w:b w:val="0"/>
                <w:sz w:val="20"/>
              </w:rPr>
              <w:t>Not a universal immunity score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/>
            </w:pPr>
            <w:r>
              <w:rPr>
                <w:b w:val="0"/>
                <w:sz w:val="20"/>
              </w:rPr>
              <w:t>Sepsis</w:t>
            </w:r>
          </w:p>
        </w:tc>
        <w:tc>
          <w:tcPr>
            <w:tcW w:type="dxa" w:w="4032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/>
            </w:pPr>
            <w:r>
              <w:rPr>
                <w:b w:val="0"/>
                <w:sz w:val="20"/>
              </w:rPr>
              <w:t>Mortality in selected patients</w:t>
            </w:r>
          </w:p>
        </w:tc>
        <w:tc>
          <w:tcPr>
            <w:tcW w:type="dxa" w:w="4392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/>
            </w:pPr>
            <w:r>
              <w:rPr>
                <w:b w:val="0"/>
                <w:sz w:val="20"/>
              </w:rPr>
              <w:t>Larger trial did not establish benefit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/>
            </w:pPr>
            <w:r>
              <w:rPr>
                <w:b w:val="0"/>
                <w:sz w:val="20"/>
              </w:rPr>
              <w:t>Pancreatitis</w:t>
            </w:r>
          </w:p>
        </w:tc>
        <w:tc>
          <w:tcPr>
            <w:tcW w:type="dxa" w:w="4032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/>
            </w:pPr>
            <w:r>
              <w:rPr>
                <w:b w:val="0"/>
                <w:sz w:val="20"/>
              </w:rPr>
              <w:t>Infected pancreatic necrosis</w:t>
            </w:r>
          </w:p>
        </w:tc>
        <w:tc>
          <w:tcPr>
            <w:tcW w:type="dxa" w:w="4392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/>
            </w:pPr>
            <w:r>
              <w:rPr>
                <w:b w:val="0"/>
                <w:sz w:val="20"/>
              </w:rPr>
              <w:t>No reduction in the cited trial</w:t>
            </w:r>
          </w:p>
        </w:tc>
      </w:tr>
    </w:tbl>
    <w:p>
      <w:pPr>
        <w:pStyle w:val="Heading2"/>
      </w:pPr>
      <w:r>
        <w:t>Safety and Research Limitations</w:t>
      </w:r>
    </w:p>
    <w:p>
      <w:r>
        <w:t>Safety and effectiveness must be assessed for the exact population, formulation and accompanying care. Clinical studies in serious illness do not establish long-term preventive use in healthy people. An absence of a clear efficacy benefit should be reported alongside tolerability, rather than replaced by a general immune-boosting claim.</w:t>
      </w:r>
    </w:p>
    <w:p>
      <w:r>
        <w:t>This page summarises scientific evidence and does not provide instructions for personal use.</w:t>
      </w:r>
    </w:p>
    <w:p>
      <w:pPr>
        <w:pStyle w:val="Heading2"/>
      </w:pPr>
      <w:r>
        <w:t>Understanding Thymosin Alpha-1 Testing and COAs</w:t>
      </w:r>
    </w:p>
    <w:p>
      <w:r>
        <w:t>Analytical methods answer different questions. Review the compound name, sample or batch identifier, laboratory, testing date, methods and reported results.</w:t>
      </w:r>
    </w:p>
    <w:p>
      <w:pPr>
        <w:pStyle w:val="ListBullet"/>
      </w:pPr>
      <w:r/>
      <w:r>
        <w:rPr>
          <w:b/>
        </w:rPr>
        <w:t>Purity:</w:t>
      </w:r>
      <w:r>
        <w:t xml:space="preserve"> Chromatography measures the relative proportions of detected components under specified conditions.</w:t>
      </w:r>
    </w:p>
    <w:p>
      <w:pPr>
        <w:pStyle w:val="ListBullet"/>
      </w:pPr>
      <w:r/>
      <w:r>
        <w:rPr>
          <w:b/>
        </w:rPr>
        <w:t>Identity:</w:t>
      </w:r>
      <w:r>
        <w:t xml:space="preserve"> Mass spectrometry and complementary methods assess whether a sample is consistent with the stated molecule.</w:t>
      </w:r>
    </w:p>
    <w:p>
      <w:pPr>
        <w:pStyle w:val="ListBullet"/>
      </w:pPr>
      <w:r/>
      <w:r>
        <w:rPr>
          <w:b/>
        </w:rPr>
        <w:t>Content:</w:t>
      </w:r>
      <w:r>
        <w:t xml:space="preserve"> A validated quantitative assay measures the amount of the specified material.</w:t>
      </w:r>
    </w:p>
    <w:p>
      <w:r>
        <w:t>Confirm the 28-residue sequence and specified N-terminal acetylation. Distinguish thymosin alpha-1 from thymosin beta peptides and thymic extracts. A purity chromatogram does not establish clinical immune effects or equivalence with a medicinal study preparation.</w:t>
      </w:r>
    </w:p>
    <w:p>
      <w:r>
        <w:t xml:space="preserve">Purity does not establish sterility, endotoxin status or clinical effectiveness. Explore PEPLAB’s </w:t>
      </w:r>
      <w:hyperlink r:id="rId14">
        <w:r>
          <w:rPr>
            <w:color w:val="146B73"/>
          </w:rPr>
          <w:t>Quality &amp; Testing</w:t>
        </w:r>
      </w:hyperlink>
      <w:r>
        <w:t xml:space="preserve"> information and available </w:t>
      </w:r>
      <w:hyperlink r:id="rId15">
        <w:r>
          <w:rPr>
            <w:color w:val="146B73"/>
          </w:rPr>
          <w:t>COA Results</w:t>
        </w:r>
      </w:hyperlink>
      <w:r>
        <w:t>. Only treat a property as tested when the relevant measurement is reported.</w:t>
      </w:r>
    </w:p>
    <w:p>
      <w:pPr>
        <w:pStyle w:val="Heading2"/>
      </w:pPr>
      <w:r>
        <w:t>Frequently Asked Questions</w:t>
      </w:r>
    </w:p>
    <w:p>
      <w:pPr>
        <w:pStyle w:val="Heading3"/>
      </w:pPr>
      <w:r>
        <w:t>Is thymalfasin related to thymosin alpha-1?</w:t>
      </w:r>
    </w:p>
    <w:p>
      <w:r>
        <w:t>Thymalfasin is the name used for the synthetic form of thymosin alpha-1.</w:t>
      </w:r>
    </w:p>
    <w:p>
      <w:pPr>
        <w:pStyle w:val="Heading3"/>
      </w:pPr>
      <w:r>
        <w:t>Is it the same as TB-500?</w:t>
      </w:r>
    </w:p>
    <w:p>
      <w:r>
        <w:t>No. Thymosin alpha-1 and thymosin beta-related peptides are different molecules.</w:t>
      </w:r>
    </w:p>
    <w:p>
      <w:pPr>
        <w:pStyle w:val="Heading3"/>
      </w:pPr>
      <w:r>
        <w:t>Has it been studied in humans?</w:t>
      </w:r>
    </w:p>
    <w:p>
      <w:r>
        <w:t>Yes. Research includes randomised trials in specific disease settings.</w:t>
      </w:r>
    </w:p>
    <w:p>
      <w:pPr>
        <w:pStyle w:val="Heading3"/>
      </w:pPr>
      <w:r>
        <w:t>Did the largest sepsis trial establish a mortality benefit?</w:t>
      </w:r>
    </w:p>
    <w:p>
      <w:r>
        <w:t>The cited TESTS trial found no clear evidence of a reduction in 28-day mortality.</w:t>
      </w:r>
    </w:p>
    <w:p>
      <w:pPr>
        <w:pStyle w:val="Heading3"/>
      </w:pPr>
      <w:r>
        <w:t>Does immune modulation mean stronger immunity for everyone?</w:t>
      </w:r>
    </w:p>
    <w:p>
      <w:r>
        <w:t>No. Effects depend on the disease context and the outcome measured.</w:t>
      </w:r>
    </w:p>
    <w:p>
      <w:pPr>
        <w:pStyle w:val="Heading3"/>
      </w:pPr>
      <w:r>
        <w:t>Do intensive-care studies prove everyday infection prevention?</w:t>
      </w:r>
    </w:p>
    <w:p>
      <w:r>
        <w:t>No. That is a different clinical question requiring its own evidence.</w:t>
      </w:r>
    </w:p>
    <w:p>
      <w:pPr>
        <w:pStyle w:val="Heading3"/>
      </w:pPr>
      <w:r>
        <w:t>Where can I find Thymosin Alpha-1 research papers?</w:t>
      </w:r>
    </w:p>
    <w:p>
      <w:r>
        <w:t xml:space="preserve">Follow the original-source links above and search the compound name on </w:t>
      </w:r>
      <w:hyperlink r:id="rId16">
        <w:r>
          <w:rPr>
            <w:color w:val="146B73"/>
          </w:rPr>
          <w:t>PubMed</w:t>
        </w:r>
      </w:hyperlink>
      <w:r>
        <w:t>. Check the exact molecule, population and outcome in each publication.</w:t>
      </w:r>
    </w:p>
    <w:p>
      <w:pPr>
        <w:pStyle w:val="Heading2"/>
      </w:pPr>
      <w:r>
        <w:t>Explore PEPLAB Research</w:t>
      </w:r>
    </w:p>
    <w:p>
      <w:r>
        <w:t xml:space="preserve">Visit our </w:t>
      </w:r>
      <w:hyperlink r:id="rId9">
        <w:r>
          <w:rPr>
            <w:color w:val="146B73"/>
          </w:rPr>
          <w:t>Research Overview</w:t>
        </w:r>
      </w:hyperlink>
      <w:r>
        <w:t xml:space="preserve"> for guidance on scientific evidence and laboratory testing. Select Find Your Compound to explore other compound-specific research pages.</w:t>
      </w:r>
    </w:p>
    <w:p>
      <w:r/>
      <w:r>
        <w:rPr>
          <w:b/>
        </w:rPr>
        <w:t>Buttons:</w:t>
      </w:r>
      <w:r>
        <w:t xml:space="preserve"> Research Overview | Find Your Compound</w:t>
      </w:r>
    </w:p>
    <w:p>
      <w:r>
        <w:t>WEBSITE COPY END</w:t>
      </w:r>
    </w:p>
    <w:p>
      <w:r>
        <w:br w:type="page"/>
      </w:r>
    </w:p>
    <w:p>
      <w:pPr>
        <w:pStyle w:val="Heading2"/>
      </w:pPr>
      <w:r>
        <w:t>3 Developer and editorial notes</w:t>
      </w:r>
    </w:p>
    <w:p>
      <w:pPr>
        <w:pStyle w:val="Heading2"/>
      </w:pPr>
      <w:r>
        <w:t>SEO and AI search implementation</w:t>
      </w:r>
    </w:p>
    <w:p>
      <w:pPr>
        <w:pStyle w:val="ListBullet"/>
      </w:pPr>
      <w:r>
        <w:t>Match the Retatrutide research page layout and use one H1. Preserve H2 sections, H3 subsections, tables and visible FAQs.</w:t>
      </w:r>
    </w:p>
    <w:p>
      <w:pPr>
        <w:pStyle w:val="ListBullet"/>
      </w:pPr>
      <w:r>
        <w:t>Set the final canonical URL, include the published page in the sitemap and link it from the research hub.</w:t>
      </w:r>
    </w:p>
    <w:p>
      <w:pPr>
        <w:pStyle w:val="ListBullet"/>
      </w:pPr>
      <w:r>
        <w:t>Keep the full article crawlable as HTML, including FAQs and references. Check indexing eligibility and rendered content in Search Console.</w:t>
      </w:r>
    </w:p>
    <w:p>
      <w:pPr>
        <w:pStyle w:val="ListBullet"/>
      </w:pPr>
      <w:r>
        <w:t>Use accurate Article and BreadcrumbList structured data when supported. Match markup to visible content and actual authorship; do not invent credentials or reviews.</w:t>
      </w:r>
    </w:p>
    <w:p>
      <w:pPr>
        <w:pStyle w:val="ListBullet"/>
      </w:pPr>
      <w:r>
        <w:t>Keep research references next to claims and distinguish biological mechanisms from demonstrated clinical outcomes. Google does not require special AI schema for AI Overviews or AI Mode; search rankings and AI citations are not guaranteed.</w:t>
      </w:r>
    </w:p>
    <w:p>
      <w:pPr>
        <w:pStyle w:val="ListBullet"/>
      </w:pPr>
      <w:r>
        <w:t>Show an actual publication or review date. Only credit a medical reviewer if that review has taken place.</w:t>
      </w:r>
    </w:p>
    <w:p>
      <w:r/>
      <w:hyperlink r:id="rId17">
        <w:r>
          <w:rPr>
            <w:color w:val="146B73"/>
          </w:rPr>
          <w:t>Google guidance on AI features and websites</w:t>
        </w:r>
      </w:hyperlink>
      <w:r/>
    </w:p>
    <w:p>
      <w:pPr>
        <w:pStyle w:val="Heading2"/>
      </w:pPr>
      <w:r>
        <w:t>Links and product details</w:t>
      </w:r>
    </w:p>
    <w:p>
      <w:r>
        <w:t>Confirm the Research Overview destination and reuse the existing Find Your Compound target. Verify the Quality &amp; Testing and COA routes. Enable related compound links only after their pages exist.</w:t>
      </w:r>
    </w:p>
    <w:p>
      <w:r>
        <w:t>Do not add purity percentages, batch numbers, vial quantities, shelf life or storage claims without supporting product documentation. A link to the COA directory does not imply that a matching batch report is available.</w:t>
      </w:r>
    </w:p>
    <w:p>
      <w:pPr>
        <w:pStyle w:val="Heading2"/>
      </w:pPr>
      <w:r>
        <w:t>Evidence distinction</w:t>
      </w:r>
    </w:p>
    <w:p>
      <w:r>
        <w:t>Use the correct spelling Thymosin Alpha-1. Retain negative trials and the TESTS correction link: https://pubmed.ncbi.nlm.nih.gov/40447307/. Avoid universal immune-boosting or infection-prevention claims.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2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peplab.com.au/research" TargetMode="External"/><Relationship Id="rId10" Type="http://schemas.openxmlformats.org/officeDocument/2006/relationships/hyperlink" Target="https://pubmed.ncbi.nlm.nih.gov/23327199/" TargetMode="External"/><Relationship Id="rId11" Type="http://schemas.openxmlformats.org/officeDocument/2006/relationships/hyperlink" Target="https://pubmed.ncbi.nlm.nih.gov/39814420/" TargetMode="External"/><Relationship Id="rId12" Type="http://schemas.openxmlformats.org/officeDocument/2006/relationships/hyperlink" Target="https://pubmed.ncbi.nlm.nih.gov/40447307/" TargetMode="External"/><Relationship Id="rId13" Type="http://schemas.openxmlformats.org/officeDocument/2006/relationships/hyperlink" Target="https://pubmed.ncbi.nlm.nih.gov/35713670/" TargetMode="External"/><Relationship Id="rId14" Type="http://schemas.openxmlformats.org/officeDocument/2006/relationships/hyperlink" Target="https://peplab.com.au/standards" TargetMode="External"/><Relationship Id="rId15" Type="http://schemas.openxmlformats.org/officeDocument/2006/relationships/hyperlink" Target="https://peplab.com.au/coa" TargetMode="External"/><Relationship Id="rId16" Type="http://schemas.openxmlformats.org/officeDocument/2006/relationships/hyperlink" Target="https://pubmed.ncbi.nlm.nih.gov/" TargetMode="External"/><Relationship Id="rId17" Type="http://schemas.openxmlformats.org/officeDocument/2006/relationships/hyperlink" Target="https://developers.google.com/search/docs/appearance/ai-featur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PEPLAB Thymosin Alpha-1 Developer Handoff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