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PEPLAB short product copy</w:t>
      </w:r>
    </w:p>
    <w:p>
      <w:pPr>
        <w:pStyle w:val="Subtitle"/>
      </w:pPr>
      <w:r>
        <w:t>59 product entries for the product detail area</w:t>
      </w:r>
    </w:p>
    <w:p>
      <w:r>
        <w:t>Use the four sections under each product card: Description, Properties, Preparation and Overview. Place the RESEARCH OVERVIEW button after Overview. The attached JSON contains the same copy and button destinations for implementation.</w:t>
      </w:r>
    </w:p>
    <w:p>
      <w:pPr>
        <w:pStyle w:val="Heading1"/>
      </w:pPr>
      <w:r>
        <w:t>Storage wording and publication check</w:t>
      </w:r>
    </w:p>
    <w:p>
      <w:r>
        <w:t>The owner’s requested wording for confirmed lyophilised powder products is shown separately under each relevant entry as Proposed storage. This wording is a draft, not a verified stability specification. Do not publish it until the exact SKU’s manufacturer or stability documentation supports both conditions. Until then, use the label-based Storage line supplied in each entry.</w:t>
      </w:r>
    </w:p>
    <w:p>
      <w:r>
        <w:rPr>
          <w:b/>
        </w:rPr>
        <w:t xml:space="preserve">Requested wording: </w:t>
      </w:r>
      <w:r>
        <w:t>Store in a cool, dry place while in lyophilised (freeze-dried) powder form. After mixing, refrigerate at 2–8°C.</w:t>
      </w:r>
    </w:p>
    <w:p>
      <w:r>
        <w:t>Do not apply powder wording to liquids, devices or products with an unconfirmed physical form. Refrigeration does not establish a usable life after mixing. Do not add a six-week expiry or other duration without supporting data.</w:t>
      </w:r>
    </w:p>
    <w:p>
      <w:pPr>
        <w:pStyle w:val="Heading1"/>
      </w:pPr>
      <w:r>
        <w:t>Developer implementation</w:t>
      </w:r>
    </w:p>
    <w:p>
      <w:pPr>
        <w:pStyle w:val="ListBullet"/>
      </w:pPr>
      <w:r>
        <w:t>Keep Description visible and concise. The other three sections may use accessible accordions, with all copy present in crawlable HTML.</w:t>
      </w:r>
    </w:p>
    <w:p>
      <w:pPr>
        <w:pStyle w:val="ListBullet"/>
      </w:pPr>
      <w:r>
        <w:t>Use the existing product title as the page H1. Use these section labels below it; do not create another H1 for each section.</w:t>
      </w:r>
    </w:p>
    <w:p>
      <w:pPr>
        <w:pStyle w:val="ListBullet"/>
      </w:pPr>
      <w:r>
        <w:t>Add verified quantity, form, batch, purity and testing results from the selected SKU. Do not infer molecular formula, CAS, potency or sterility from a product name. GLOW and KLOW quantities are the owner-supplied formulas.</w:t>
      </w:r>
    </w:p>
    <w:p>
      <w:pPr>
        <w:pStyle w:val="ListBullet"/>
      </w:pPr>
      <w:r>
        <w:t>Render the button as a normal HTML link styled as a button. Use the exact label RESEARCH OVERVIEW and a product-specific accessible label. Confirm the destination is published; the links match the earlier handoff URLs, but live availability is unverified.</w:t>
      </w:r>
    </w:p>
    <w:p>
      <w:pPr>
        <w:pStyle w:val="ListBullet"/>
      </w:pPr>
      <w:r>
        <w:t>Keep product copy distinct from the longer research article. Use accurate Product structured data only where appropriate; no special GEO schema or guaranteed Google ranking is implied.</w:t>
      </w:r>
    </w:p>
    <w:p>
      <w:hyperlink r:id="rId9">
        <w:r>
          <w:rPr>
            <w:color w:val="17616B"/>
          </w:rPr>
          <w:t>Google guidance on AI features and websites</w:t>
        </w:r>
      </w:hyperlink>
    </w:p>
    <w:p>
      <w:hyperlink r:id="rId10">
        <w:r>
          <w:rPr>
            <w:color w:val="17616B"/>
          </w:rPr>
          <w:t>Peptide handling and storage reference</w:t>
        </w:r>
      </w:hyperlink>
    </w:p>
    <w:p>
      <w:hyperlink r:id="rId11">
        <w:r>
          <w:rPr>
            <w:color w:val="17616B"/>
          </w:rPr>
          <w:t>Example of formulation-specific storage instructions</w:t>
        </w:r>
      </w:hyperlink>
    </w:p>
    <w:p>
      <w:r>
        <w:br w:type="page"/>
      </w:r>
    </w:p>
    <w:p>
      <w:pPr>
        <w:pStyle w:val="Heading1"/>
      </w:pPr>
      <w:r>
        <w:t>01  Retatrutide</w:t>
      </w:r>
    </w:p>
    <w:p>
      <w:r>
        <w:rPr>
          <w:b/>
        </w:rPr>
        <w:t xml:space="preserve">DESCRIPTION </w:t>
      </w:r>
      <w:r>
        <w:t>Retatrutide, also known as LY3437943, is a triple receptor agonist studied in body-weight, glucose-regulation and metabolic research.</w:t>
      </w:r>
    </w:p>
    <w:p>
      <w:r>
        <w:rPr>
          <w:b/>
        </w:rPr>
        <w:t xml:space="preserve">PROPERTIES </w:t>
      </w:r>
      <w:r>
        <w:t>Type: Peptide • Key details: GIP, GLP-1 and glucagon receptor agonist</w:t>
      </w:r>
    </w:p>
    <w:p>
      <w:r>
        <w:rPr>
          <w:b/>
        </w:rPr>
        <w:t xml:space="preserve">PREPARATION </w:t>
      </w:r>
      <w:r>
        <w:t>Follow the product-specific laboratory preparation instructions. Confirm diluent compatibility before mixing.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Its three receptor targets provide the basis for metabolic studies. Findings depend on the preparation, population and study design.</w:t>
      </w:r>
    </w:p>
    <w:p>
      <w:hyperlink r:id="rId12">
        <w:r>
          <w:rPr>
            <w:color w:val="17616B"/>
          </w:rPr>
          <w:t>RESEARCH OVERVIEW</w:t>
        </w:r>
      </w:hyperlink>
    </w:p>
    <w:p>
      <w:pPr>
        <w:pStyle w:val="Heading1"/>
      </w:pPr>
      <w:r>
        <w:t>02  GHK-Cu</w:t>
      </w:r>
    </w:p>
    <w:p>
      <w:r>
        <w:rPr>
          <w:b/>
        </w:rPr>
        <w:t xml:space="preserve">DESCRIPTION </w:t>
      </w:r>
      <w:r>
        <w:t>GHK-Cu is a copper-binding tripeptide studied in skin biology, extracellular matrix signalling and tissue-remodelling models.</w:t>
      </w:r>
    </w:p>
    <w:p>
      <w:r>
        <w:rPr>
          <w:b/>
        </w:rPr>
        <w:t xml:space="preserve">PROPERTIES </w:t>
      </w:r>
      <w:r>
        <w:t>Type: Copper peptide complex • Key details: Glycine–histidine–lysine with copper</w:t>
      </w:r>
    </w:p>
    <w:p>
      <w:r>
        <w:rPr>
          <w:b/>
        </w:rPr>
        <w:t xml:space="preserve">PREPARATION </w:t>
      </w:r>
      <w:r>
        <w:t>Follow the product-specific laboratory preparation instructions. Confirm diluent compatibility before mixing.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Research examines how this complex interacts with cells and tissue components. Results for a finished cosmetic formula are formulation-specific.</w:t>
      </w:r>
    </w:p>
    <w:p>
      <w:hyperlink r:id="rId13">
        <w:r>
          <w:rPr>
            <w:color w:val="17616B"/>
          </w:rPr>
          <w:t>RESEARCH OVERVIEW</w:t>
        </w:r>
      </w:hyperlink>
    </w:p>
    <w:p>
      <w:r>
        <w:br w:type="page"/>
      </w:r>
    </w:p>
    <w:p>
      <w:pPr>
        <w:pStyle w:val="Heading1"/>
      </w:pPr>
      <w:r>
        <w:t>03  Tirzepatide</w:t>
      </w:r>
    </w:p>
    <w:p>
      <w:r>
        <w:rPr>
          <w:b/>
        </w:rPr>
        <w:t xml:space="preserve">DESCRIPTION </w:t>
      </w:r>
      <w:r>
        <w:t>Tirzepatide is a dual incretin receptor agonist studied in glucose regulation, appetite signalling and body-weight research.</w:t>
      </w:r>
    </w:p>
    <w:p>
      <w:r>
        <w:rPr>
          <w:b/>
        </w:rPr>
        <w:t xml:space="preserve">PROPERTIES </w:t>
      </w:r>
      <w:r>
        <w:t>Type: Peptide • Key details: Dual GIP and GLP-1 receptor agonist</w:t>
      </w:r>
    </w:p>
    <w:p>
      <w:r>
        <w:rPr>
          <w:b/>
        </w:rPr>
        <w:t xml:space="preserve">PREPARATION </w:t>
      </w:r>
      <w:r>
        <w:t>Follow the product-specific laboratory preparation instructions. Confirm diluent compatibility before mixing.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Published clinical results relate to specific formulations and trial populations. They do not establish equivalence with separately supplied research material.</w:t>
      </w:r>
    </w:p>
    <w:p>
      <w:hyperlink r:id="rId14">
        <w:r>
          <w:rPr>
            <w:color w:val="17616B"/>
          </w:rPr>
          <w:t>RESEARCH OVERVIEW</w:t>
        </w:r>
      </w:hyperlink>
    </w:p>
    <w:p>
      <w:pPr>
        <w:pStyle w:val="Heading1"/>
      </w:pPr>
      <w:r>
        <w:t>04  Tesamorelin</w:t>
      </w:r>
    </w:p>
    <w:p>
      <w:r>
        <w:rPr>
          <w:b/>
        </w:rPr>
        <w:t xml:space="preserve">DESCRIPTION </w:t>
      </w:r>
      <w:r>
        <w:t>Tesamorelin is a GHRH analogue studied in growth hormone signalling, IGF-1 responses and visceral-fat research.</w:t>
      </w:r>
    </w:p>
    <w:p>
      <w:r>
        <w:rPr>
          <w:b/>
        </w:rPr>
        <w:t xml:space="preserve">PROPERTIES </w:t>
      </w:r>
      <w:r>
        <w:t>Type: Peptide • Key details: Growth hormone-releasing hormone analogue</w:t>
      </w:r>
    </w:p>
    <w:p>
      <w:r>
        <w:rPr>
          <w:b/>
        </w:rPr>
        <w:t xml:space="preserve">PREPARATION </w:t>
      </w:r>
      <w:r>
        <w:t>Follow the product-specific laboratory preparation instructions. Confirm diluent compatibility before mixing.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It acts through the GHRH pathway rather than being growth hormone itself. Preparation and storage requirements depend on the formulation.</w:t>
      </w:r>
    </w:p>
    <w:p>
      <w:hyperlink r:id="rId15">
        <w:r>
          <w:rPr>
            <w:color w:val="17616B"/>
          </w:rPr>
          <w:t>RESEARCH OVERVIEW</w:t>
        </w:r>
      </w:hyperlink>
    </w:p>
    <w:p>
      <w:r>
        <w:br w:type="page"/>
      </w:r>
    </w:p>
    <w:p>
      <w:pPr>
        <w:pStyle w:val="Heading1"/>
      </w:pPr>
      <w:r>
        <w:t>05  BPC-157 + TB-500 Blend</w:t>
      </w:r>
    </w:p>
    <w:p>
      <w:r>
        <w:rPr>
          <w:b/>
        </w:rPr>
        <w:t xml:space="preserve">DESCRIPTION </w:t>
      </w:r>
      <w:r>
        <w:t>BPC-157 + TB-500 combines two research materials associated with tissue-response and repair-related experimental models.</w:t>
      </w:r>
    </w:p>
    <w:p>
      <w:r>
        <w:rPr>
          <w:b/>
        </w:rPr>
        <w:t xml:space="preserve">PROPERTIES </w:t>
      </w:r>
      <w:r>
        <w:t>Type: Peptide blend • Key details: BPC-157 plus TB-500; confirm component quantities</w:t>
      </w:r>
    </w:p>
    <w:p>
      <w:r>
        <w:rPr>
          <w:b/>
        </w:rPr>
        <w:t xml:space="preserve">PREPARATION </w:t>
      </w:r>
      <w:r>
        <w:t>Follow the product-specific laboratory preparation instructions. Confirm diluent compatibility before mixing.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Evidence for individual ingredients does not establish the performance of this blend. Confirm the exact TB-500 sequence and component quantities.</w:t>
      </w:r>
    </w:p>
    <w:p>
      <w:hyperlink r:id="rId16">
        <w:r>
          <w:rPr>
            <w:color w:val="17616B"/>
          </w:rPr>
          <w:t>RESEARCH OVERVIEW</w:t>
        </w:r>
      </w:hyperlink>
    </w:p>
    <w:p>
      <w:pPr>
        <w:pStyle w:val="Heading1"/>
      </w:pPr>
      <w:r>
        <w:t>06  MOTS-C</w:t>
      </w:r>
    </w:p>
    <w:p>
      <w:r>
        <w:rPr>
          <w:b/>
        </w:rPr>
        <w:t xml:space="preserve">DESCRIPTION </w:t>
      </w:r>
      <w:r>
        <w:t>MOTS-C is a mitochondrial-derived peptide studied in metabolic signalling, cellular stress responses and energy-regulation models.</w:t>
      </w:r>
    </w:p>
    <w:p>
      <w:r>
        <w:rPr>
          <w:b/>
        </w:rPr>
        <w:t xml:space="preserve">PROPERTIES </w:t>
      </w:r>
      <w:r>
        <w:t>Type: Peptide • Key details: 16-amino-acid mitochondrial-derived peptide</w:t>
      </w:r>
    </w:p>
    <w:p>
      <w:r>
        <w:rPr>
          <w:b/>
        </w:rPr>
        <w:t xml:space="preserve">PREPARATION </w:t>
      </w:r>
      <w:r>
        <w:t>Follow the product-specific laboratory preparation instructions. Confirm diluent compatibility before mixing.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It is a signalling peptide, not a conventional stimulant. Laboratory and animal findings require separate clinical validation.</w:t>
      </w:r>
    </w:p>
    <w:p>
      <w:hyperlink r:id="rId17">
        <w:r>
          <w:rPr>
            <w:color w:val="17616B"/>
          </w:rPr>
          <w:t>RESEARCH OVERVIEW</w:t>
        </w:r>
      </w:hyperlink>
    </w:p>
    <w:p>
      <w:r>
        <w:br w:type="page"/>
      </w:r>
    </w:p>
    <w:p>
      <w:pPr>
        <w:pStyle w:val="Heading1"/>
      </w:pPr>
      <w:r>
        <w:t>07  CJC-1295 No DAC + Ipamorelin Blend</w:t>
      </w:r>
    </w:p>
    <w:p>
      <w:r>
        <w:rPr>
          <w:b/>
        </w:rPr>
        <w:t xml:space="preserve">DESCRIPTION </w:t>
      </w:r>
      <w:r>
        <w:t>This blend combines CJC-1295 No DAC and ipamorelin, two peptides associated with different growth hormone signalling pathways.</w:t>
      </w:r>
    </w:p>
    <w:p>
      <w:r>
        <w:rPr>
          <w:b/>
        </w:rPr>
        <w:t xml:space="preserve">PROPERTIES </w:t>
      </w:r>
      <w:r>
        <w:t>Type: Peptide blend • Key details: GHRH-related analogue plus a GH secretagogue</w:t>
      </w:r>
    </w:p>
    <w:p>
      <w:r>
        <w:rPr>
          <w:b/>
        </w:rPr>
        <w:t xml:space="preserve">PREPARATION </w:t>
      </w:r>
      <w:r>
        <w:t>Follow the product-specific laboratory preparation instructions. Confirm diluent compatibility before mixing.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The No DAC component differs from albumin-binding CJC-1295 DAC. Ingredient studies do not establish this blend’s clinical outcomes.</w:t>
      </w:r>
    </w:p>
    <w:p>
      <w:hyperlink r:id="rId18">
        <w:r>
          <w:rPr>
            <w:color w:val="17616B"/>
          </w:rPr>
          <w:t>RESEARCH OVERVIEW</w:t>
        </w:r>
      </w:hyperlink>
    </w:p>
    <w:p>
      <w:pPr>
        <w:pStyle w:val="Heading1"/>
      </w:pPr>
      <w:r>
        <w:t>08  KLOW Blend</w:t>
      </w:r>
    </w:p>
    <w:p>
      <w:r>
        <w:rPr>
          <w:b/>
        </w:rPr>
        <w:t xml:space="preserve">DESCRIPTION </w:t>
      </w:r>
      <w:r>
        <w:t>KLOW is an 80mg blend combining GHK-Cu, BPC-157, TB-500 and KPV for research involving multiple peptide pathways.</w:t>
      </w:r>
    </w:p>
    <w:p>
      <w:r>
        <w:rPr>
          <w:b/>
        </w:rPr>
        <w:t xml:space="preserve">PROPERTIES </w:t>
      </w:r>
      <w:r>
        <w:t>Type: Four-component blend • Key details: GHK-Cu 50mg; BPC-157 10mg; TB-500 10mg; KPV 10mg; total 80mg</w:t>
      </w:r>
    </w:p>
    <w:p>
      <w:r>
        <w:rPr>
          <w:b/>
        </w:rPr>
        <w:t xml:space="preserve">PREPARATION </w:t>
      </w:r>
      <w:r>
        <w:t>Follow the product-specific laboratory preparation instructions. Confirm diluent compatibility before mixing.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KPV distinguishes KLOW from GLOW. The stated composition describes the formula and does not establish synergy or clinical effectiveness.</w:t>
      </w:r>
    </w:p>
    <w:p>
      <w:hyperlink r:id="rId19">
        <w:r>
          <w:rPr>
            <w:color w:val="17616B"/>
          </w:rPr>
          <w:t>RESEARCH OVERVIEW</w:t>
        </w:r>
      </w:hyperlink>
    </w:p>
    <w:p>
      <w:r>
        <w:br w:type="page"/>
      </w:r>
    </w:p>
    <w:p>
      <w:pPr>
        <w:pStyle w:val="Heading1"/>
      </w:pPr>
      <w:r>
        <w:t>09  Melanotan 2</w:t>
      </w:r>
    </w:p>
    <w:p>
      <w:r>
        <w:rPr>
          <w:b/>
        </w:rPr>
        <w:t xml:space="preserve">DESCRIPTION </w:t>
      </w:r>
      <w:r>
        <w:t>Melanotan 2 is an alpha-MSH analogue studied in melanocortin receptor signalling and pigmentation-related research.</w:t>
      </w:r>
    </w:p>
    <w:p>
      <w:r>
        <w:rPr>
          <w:b/>
        </w:rPr>
        <w:t xml:space="preserve">PROPERTIES </w:t>
      </w:r>
      <w:r>
        <w:t>Type: Cyclic peptide • Key details: Also called Melanotan II or MT-II</w:t>
      </w:r>
    </w:p>
    <w:p>
      <w:r>
        <w:rPr>
          <w:b/>
        </w:rPr>
        <w:t xml:space="preserve">PREPARATION </w:t>
      </w:r>
      <w:r>
        <w:t>Follow the product-specific laboratory preparation instructions. Confirm diluent compatibility before mixing.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It is distinct from PT-141 and other melanocortin analogues. Research findings do not establish safe tanning or protection from UV damage.</w:t>
      </w:r>
    </w:p>
    <w:p>
      <w:hyperlink r:id="rId20">
        <w:r>
          <w:rPr>
            <w:color w:val="17616B"/>
          </w:rPr>
          <w:t>RESEARCH OVERVIEW</w:t>
        </w:r>
      </w:hyperlink>
    </w:p>
    <w:p>
      <w:pPr>
        <w:pStyle w:val="Heading1"/>
      </w:pPr>
      <w:r>
        <w:t>10  NAD+</w:t>
      </w:r>
    </w:p>
    <w:p>
      <w:r>
        <w:rPr>
          <w:b/>
        </w:rPr>
        <w:t xml:space="preserve">DESCRIPTION </w:t>
      </w:r>
      <w:r>
        <w:t>NAD+ is a cellular coenzyme involved in redox reactions, energy metabolism and enzyme systems linked to cellular maintenance.</w:t>
      </w:r>
    </w:p>
    <w:p>
      <w:r>
        <w:rPr>
          <w:b/>
        </w:rPr>
        <w:t xml:space="preserve">PROPERTIES </w:t>
      </w:r>
      <w:r>
        <w:t>Type: Coenzyme • Key details: Oxidised nicotinamide adenine dinucleotide</w:t>
      </w:r>
    </w:p>
    <w:p>
      <w:r>
        <w:rPr>
          <w:b/>
        </w:rPr>
        <w:t xml:space="preserve">PREPARATION </w:t>
      </w:r>
      <w:r>
        <w:t>Follow the product-specific laboratory preparation instructions. Confirm diluent compatibility before mixing.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NAD+ is not a peptide. Research on NAD+ should be distinguished from studies of its precursors, including NR and NMN.</w:t>
      </w:r>
    </w:p>
    <w:p>
      <w:hyperlink r:id="rId21">
        <w:r>
          <w:rPr>
            <w:color w:val="17616B"/>
          </w:rPr>
          <w:t>RESEARCH OVERVIEW</w:t>
        </w:r>
      </w:hyperlink>
    </w:p>
    <w:p>
      <w:r>
        <w:br w:type="page"/>
      </w:r>
    </w:p>
    <w:p>
      <w:pPr>
        <w:pStyle w:val="Heading1"/>
      </w:pPr>
      <w:r>
        <w:t>11  BPC-157</w:t>
      </w:r>
    </w:p>
    <w:p>
      <w:r>
        <w:rPr>
          <w:b/>
        </w:rPr>
        <w:t xml:space="preserve">DESCRIPTION </w:t>
      </w:r>
      <w:r>
        <w:t>BPC-157 is a synthetic peptide studied in gastrointestinal biology, tendon-cell behaviour and tissue-response models.</w:t>
      </w:r>
    </w:p>
    <w:p>
      <w:r>
        <w:rPr>
          <w:b/>
        </w:rPr>
        <w:t xml:space="preserve">PROPERTIES </w:t>
      </w:r>
      <w:r>
        <w:t>Type: Peptide • Key details: 15-amino-acid synthetic peptide</w:t>
      </w:r>
    </w:p>
    <w:p>
      <w:r>
        <w:rPr>
          <w:b/>
        </w:rPr>
        <w:t xml:space="preserve">PREPARATION </w:t>
      </w:r>
      <w:r>
        <w:t>Follow the product-specific laboratory preparation instructions. Confirm diluent compatibility before mixing.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Much of its evidence comes from preclinical research. These findings do not establish predictable healing or recovery outcomes in people.</w:t>
      </w:r>
    </w:p>
    <w:p>
      <w:hyperlink r:id="rId22">
        <w:r>
          <w:rPr>
            <w:color w:val="17616B"/>
          </w:rPr>
          <w:t>RESEARCH OVERVIEW</w:t>
        </w:r>
      </w:hyperlink>
    </w:p>
    <w:p>
      <w:pPr>
        <w:pStyle w:val="Heading1"/>
      </w:pPr>
      <w:r>
        <w:t>12  GLOW Blend</w:t>
      </w:r>
    </w:p>
    <w:p>
      <w:r>
        <w:rPr>
          <w:b/>
        </w:rPr>
        <w:t xml:space="preserve">DESCRIPTION </w:t>
      </w:r>
      <w:r>
        <w:t>GLOW is a 70mg blend combining GHK-Cu, BPC-157 and TB-500 for research involving skin and tissue biology.</w:t>
      </w:r>
    </w:p>
    <w:p>
      <w:r>
        <w:rPr>
          <w:b/>
        </w:rPr>
        <w:t xml:space="preserve">PROPERTIES </w:t>
      </w:r>
      <w:r>
        <w:t>Type: Three-component blend • Key details: GHK-Cu 50mg; BPC-157 10mg; TB-500 10mg; total 70mg</w:t>
      </w:r>
    </w:p>
    <w:p>
      <w:r>
        <w:rPr>
          <w:b/>
        </w:rPr>
        <w:t xml:space="preserve">PREPARATION </w:t>
      </w:r>
      <w:r>
        <w:t>Follow the product-specific laboratory preparation instructions. Confirm diluent compatibility before mixing.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GLOW is a blend name, not a single molecule. Research on its ingredients does not demonstrate the effectiveness of the combined formula.</w:t>
      </w:r>
    </w:p>
    <w:p>
      <w:hyperlink r:id="rId23">
        <w:r>
          <w:rPr>
            <w:color w:val="17616B"/>
          </w:rPr>
          <w:t>RESEARCH OVERVIEW</w:t>
        </w:r>
      </w:hyperlink>
    </w:p>
    <w:p>
      <w:r>
        <w:br w:type="page"/>
      </w:r>
    </w:p>
    <w:p>
      <w:pPr>
        <w:pStyle w:val="Heading1"/>
      </w:pPr>
      <w:r>
        <w:t>13  PT-141</w:t>
      </w:r>
    </w:p>
    <w:p>
      <w:r>
        <w:rPr>
          <w:b/>
        </w:rPr>
        <w:t xml:space="preserve">DESCRIPTION </w:t>
      </w:r>
      <w:r>
        <w:t>PT-141, also known as bremelanotide, is a peptide studied in melanocortin signalling and sexual-function research.</w:t>
      </w:r>
    </w:p>
    <w:p>
      <w:r>
        <w:rPr>
          <w:b/>
        </w:rPr>
        <w:t xml:space="preserve">PROPERTIES </w:t>
      </w:r>
      <w:r>
        <w:t>Type: Peptide • Key details: Bremelanotide; melanocortin receptor agonist</w:t>
      </w:r>
    </w:p>
    <w:p>
      <w:r>
        <w:rPr>
          <w:b/>
        </w:rPr>
        <w:t xml:space="preserve">PREPARATION </w:t>
      </w:r>
      <w:r>
        <w:t>Follow the product-specific laboratory preparation instructions. Confirm diluent compatibility before mixing.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Its mechanism differs from testosterone and PDE5 inhibitors. Clinical findings apply to the formulation and population studied.</w:t>
      </w:r>
    </w:p>
    <w:p>
      <w:hyperlink r:id="rId24">
        <w:r>
          <w:rPr>
            <w:color w:val="17616B"/>
          </w:rPr>
          <w:t>RESEARCH OVERVIEW</w:t>
        </w:r>
      </w:hyperlink>
    </w:p>
    <w:p>
      <w:pPr>
        <w:pStyle w:val="Heading1"/>
      </w:pPr>
      <w:r>
        <w:t>14  KPV</w:t>
      </w:r>
    </w:p>
    <w:p>
      <w:r>
        <w:rPr>
          <w:b/>
        </w:rPr>
        <w:t xml:space="preserve">DESCRIPTION </w:t>
      </w:r>
      <w:r>
        <w:t>KPV is a three-amino-acid peptide associated with the C-terminal region of alpha-MSH and studied in inflammatory-response models.</w:t>
      </w:r>
    </w:p>
    <w:p>
      <w:r>
        <w:rPr>
          <w:b/>
        </w:rPr>
        <w:t xml:space="preserve">PROPERTIES </w:t>
      </w:r>
      <w:r>
        <w:t>Type: Tripeptide • Key details: Lysine–proline–valine</w:t>
      </w:r>
    </w:p>
    <w:p>
      <w:r>
        <w:rPr>
          <w:b/>
        </w:rPr>
        <w:t xml:space="preserve">PREPARATION </w:t>
      </w:r>
      <w:r>
        <w:t>Follow the product-specific laboratory preparation instructions. Confirm diluent compatibility before mixing.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As a short fragment, KPV does not reproduce every effect of the full hormone. Human outcomes need direct evidence.</w:t>
      </w:r>
    </w:p>
    <w:p>
      <w:hyperlink r:id="rId25">
        <w:r>
          <w:rPr>
            <w:color w:val="17616B"/>
          </w:rPr>
          <w:t>RESEARCH OVERVIEW</w:t>
        </w:r>
      </w:hyperlink>
    </w:p>
    <w:p>
      <w:r>
        <w:br w:type="page"/>
      </w:r>
    </w:p>
    <w:p>
      <w:pPr>
        <w:pStyle w:val="Heading1"/>
      </w:pPr>
      <w:r>
        <w:t>15  Ipamorelin</w:t>
      </w:r>
    </w:p>
    <w:p>
      <w:r>
        <w:rPr>
          <w:b/>
        </w:rPr>
        <w:t xml:space="preserve">DESCRIPTION </w:t>
      </w:r>
      <w:r>
        <w:t>Ipamorelin is a synthetic peptide studied for its activity at the growth hormone secretagogue receptor, also called the ghrelin receptor.</w:t>
      </w:r>
    </w:p>
    <w:p>
      <w:r>
        <w:rPr>
          <w:b/>
        </w:rPr>
        <w:t xml:space="preserve">PROPERTIES </w:t>
      </w:r>
      <w:r>
        <w:t>Type: Peptide • Key details: Growth hormone secretagogue</w:t>
      </w:r>
    </w:p>
    <w:p>
      <w:r>
        <w:rPr>
          <w:b/>
        </w:rPr>
        <w:t xml:space="preserve">PREPARATION </w:t>
      </w:r>
      <w:r>
        <w:t>Follow the product-specific laboratory preparation instructions. Confirm diluent compatibility before mixing.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It stimulates a hormone-release pathway rather than supplying growth hormone. Receptor activity alone does not establish recovery or body-composition benefits.</w:t>
      </w:r>
    </w:p>
    <w:p>
      <w:hyperlink r:id="rId26">
        <w:r>
          <w:rPr>
            <w:color w:val="17616B"/>
          </w:rPr>
          <w:t>RESEARCH OVERVIEW</w:t>
        </w:r>
      </w:hyperlink>
    </w:p>
    <w:p>
      <w:pPr>
        <w:pStyle w:val="Heading1"/>
      </w:pPr>
      <w:r>
        <w:t>16  SS-31</w:t>
      </w:r>
    </w:p>
    <w:p>
      <w:r>
        <w:rPr>
          <w:b/>
        </w:rPr>
        <w:t xml:space="preserve">DESCRIPTION </w:t>
      </w:r>
      <w:r>
        <w:t>SS-31, also known as elamipretide, is studied in mitochondrial function and cardiolipin-associated membrane biology.</w:t>
      </w:r>
    </w:p>
    <w:p>
      <w:r>
        <w:rPr>
          <w:b/>
        </w:rPr>
        <w:t xml:space="preserve">PROPERTIES </w:t>
      </w:r>
      <w:r>
        <w:t>Type: Peptide • Key details: Elamipretide; mitochondria-targeting peptide</w:t>
      </w:r>
    </w:p>
    <w:p>
      <w:r>
        <w:rPr>
          <w:b/>
        </w:rPr>
        <w:t xml:space="preserve">PREPARATION </w:t>
      </w:r>
      <w:r>
        <w:t>Follow the product-specific laboratory preparation instructions. Confirm diluent compatibility before mixing.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Research examines whether mitochondrial effects translate into meaningful outcomes in specific conditions. A mitochondrial target does not guarantee increased energy.</w:t>
      </w:r>
    </w:p>
    <w:p>
      <w:hyperlink r:id="rId27">
        <w:r>
          <w:rPr>
            <w:color w:val="17616B"/>
          </w:rPr>
          <w:t>RESEARCH OVERVIEW</w:t>
        </w:r>
      </w:hyperlink>
    </w:p>
    <w:p>
      <w:r>
        <w:br w:type="page"/>
      </w:r>
    </w:p>
    <w:p>
      <w:pPr>
        <w:pStyle w:val="Heading1"/>
      </w:pPr>
      <w:r>
        <w:t>17  HCG</w:t>
      </w:r>
    </w:p>
    <w:p>
      <w:r>
        <w:rPr>
          <w:b/>
        </w:rPr>
        <w:t xml:space="preserve">DESCRIPTION </w:t>
      </w:r>
      <w:r>
        <w:t>HCG is a glycoprotein hormone studied in reproductive endocrinology and luteinising hormone receptor signalling.</w:t>
      </w:r>
    </w:p>
    <w:p>
      <w:r>
        <w:rPr>
          <w:b/>
        </w:rPr>
        <w:t xml:space="preserve">PROPERTIES </w:t>
      </w:r>
      <w:r>
        <w:t>Type: Glycoprotein hormone • Key details: Human chorionic gonadotropin</w:t>
      </w:r>
    </w:p>
    <w:p>
      <w:r>
        <w:rPr>
          <w:b/>
        </w:rPr>
        <w:t xml:space="preserve">PREPARATION </w:t>
      </w:r>
      <w:r>
        <w:t>Follow the product-specific laboratory preparation instructions. Confirm diluent compatibility before mixing.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HCG is different from human growth hormone. Source, formulation and biological activity must be identified for the actual preparation.</w:t>
      </w:r>
    </w:p>
    <w:p>
      <w:hyperlink r:id="rId28">
        <w:r>
          <w:rPr>
            <w:color w:val="17616B"/>
          </w:rPr>
          <w:t>RESEARCH OVERVIEW</w:t>
        </w:r>
      </w:hyperlink>
    </w:p>
    <w:p>
      <w:pPr>
        <w:pStyle w:val="Heading1"/>
      </w:pPr>
      <w:r>
        <w:t>18  Semax</w:t>
      </w:r>
    </w:p>
    <w:p>
      <w:r>
        <w:rPr>
          <w:b/>
        </w:rPr>
        <w:t xml:space="preserve">DESCRIPTION </w:t>
      </w:r>
      <w:r>
        <w:t>Semax is a synthetic peptide studied in neurological signalling, neurotrophic pathways and experimental responses to brain injury.</w:t>
      </w:r>
    </w:p>
    <w:p>
      <w:r>
        <w:rPr>
          <w:b/>
        </w:rPr>
        <w:t xml:space="preserve">PROPERTIES </w:t>
      </w:r>
      <w:r>
        <w:t>Type: Peptide • Key details: ACTH-fragment analogue; seven residues</w:t>
      </w:r>
    </w:p>
    <w:p>
      <w:r>
        <w:rPr>
          <w:b/>
        </w:rPr>
        <w:t xml:space="preserve">PREPARATION </w:t>
      </w:r>
      <w:r>
        <w:t>Follow the product-specific laboratory preparation instructions. Confirm diluent compatibility before mixing.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It is an ACTH-fragment analogue rather than the complete hormone. Findings are specific to the studied preparation and research setting.</w:t>
      </w:r>
    </w:p>
    <w:p>
      <w:hyperlink r:id="rId29">
        <w:r>
          <w:rPr>
            <w:color w:val="17616B"/>
          </w:rPr>
          <w:t>RESEARCH OVERVIEW</w:t>
        </w:r>
      </w:hyperlink>
    </w:p>
    <w:p>
      <w:r>
        <w:br w:type="page"/>
      </w:r>
    </w:p>
    <w:p>
      <w:pPr>
        <w:pStyle w:val="Heading1"/>
      </w:pPr>
      <w:r>
        <w:t>19  SLU-PP-332</w:t>
      </w:r>
    </w:p>
    <w:p>
      <w:r>
        <w:rPr>
          <w:b/>
        </w:rPr>
        <w:t xml:space="preserve">DESCRIPTION </w:t>
      </w:r>
      <w:r>
        <w:t>SLU-PP-332 is a small molecule studied in metabolic gene regulation and exercise-associated pathways in preclinical models.</w:t>
      </w:r>
    </w:p>
    <w:p>
      <w:r>
        <w:rPr>
          <w:b/>
        </w:rPr>
        <w:t xml:space="preserve">PROPERTIES </w:t>
      </w:r>
      <w:r>
        <w:t>Type: Small molecule • Key details: Estrogen-related receptor agonist</w:t>
      </w:r>
    </w:p>
    <w:p>
      <w:r>
        <w:rPr>
          <w:b/>
        </w:rPr>
        <w:t xml:space="preserve">PREPARATION </w:t>
      </w:r>
      <w:r>
        <w:t>Follow the chemical specification and a validated laboratory solvent protocol. Do not assume compatibility with water.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It is not a peptide or estrogen. Animal metabolic findings do not establish an exercise replacement or human performance benefit.</w:t>
      </w:r>
    </w:p>
    <w:p>
      <w:hyperlink r:id="rId30">
        <w:r>
          <w:rPr>
            <w:color w:val="17616B"/>
          </w:rPr>
          <w:t>RESEARCH OVERVIEW</w:t>
        </w:r>
      </w:hyperlink>
    </w:p>
    <w:p>
      <w:pPr>
        <w:pStyle w:val="Heading1"/>
      </w:pPr>
      <w:r>
        <w:t>20  Glutathione</w:t>
      </w:r>
    </w:p>
    <w:p>
      <w:r>
        <w:rPr>
          <w:b/>
        </w:rPr>
        <w:t xml:space="preserve">DESCRIPTION </w:t>
      </w:r>
      <w:r>
        <w:t>Glutathione is a naturally occurring tripeptide studied in antioxidant defence, redox balance and cellular responses to oxidative stress.</w:t>
      </w:r>
    </w:p>
    <w:p>
      <w:r>
        <w:rPr>
          <w:b/>
        </w:rPr>
        <w:t xml:space="preserve">PROPERTIES </w:t>
      </w:r>
      <w:r>
        <w:t>Type: Tripeptide • Key details: Glutamate, cysteine and glycine</w:t>
      </w:r>
    </w:p>
    <w:p>
      <w:r>
        <w:rPr>
          <w:b/>
        </w:rPr>
        <w:t xml:space="preserve">PREPARATION </w:t>
      </w:r>
      <w:r>
        <w:t>Follow the product-specific laboratory preparation instructions. Confirm diluent compatibility before mixing.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Reduced glutathione and its oxidised form have different analytical identities. The exact form and formulation matter when interpreting research.</w:t>
      </w:r>
    </w:p>
    <w:p>
      <w:hyperlink r:id="rId31">
        <w:r>
          <w:rPr>
            <w:color w:val="17616B"/>
          </w:rPr>
          <w:t>RESEARCH OVERVIEW</w:t>
        </w:r>
      </w:hyperlink>
    </w:p>
    <w:p>
      <w:r>
        <w:br w:type="page"/>
      </w:r>
    </w:p>
    <w:p>
      <w:pPr>
        <w:pStyle w:val="Heading1"/>
      </w:pPr>
      <w:r>
        <w:t>21  IGF-1 LR3</w:t>
      </w:r>
    </w:p>
    <w:p>
      <w:r>
        <w:rPr>
          <w:b/>
        </w:rPr>
        <w:t xml:space="preserve">DESCRIPTION </w:t>
      </w:r>
      <w:r>
        <w:t>IGF-1 LR3 is an insulin-like growth factor analogue used in cell-culture and preclinical research on growth-factor signalling.</w:t>
      </w:r>
    </w:p>
    <w:p>
      <w:r>
        <w:rPr>
          <w:b/>
        </w:rPr>
        <w:t xml:space="preserve">PROPERTIES </w:t>
      </w:r>
      <w:r>
        <w:t>Type: Modified growth factor • Key details: Long R3 IGF-I</w:t>
      </w:r>
    </w:p>
    <w:p>
      <w:r>
        <w:rPr>
          <w:b/>
        </w:rPr>
        <w:t xml:space="preserve">PREPARATION </w:t>
      </w:r>
      <w:r>
        <w:t>Follow the product-specific laboratory preparation instructions. Confirm diluent compatibility before mixing.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Its modifications alter interactions with IGF-binding proteins. Cell-culture activity does not establish muscle gain or safe human use.</w:t>
      </w:r>
    </w:p>
    <w:p>
      <w:hyperlink r:id="rId32">
        <w:r>
          <w:rPr>
            <w:color w:val="17616B"/>
          </w:rPr>
          <w:t>RESEARCH OVERVIEW</w:t>
        </w:r>
      </w:hyperlink>
    </w:p>
    <w:p>
      <w:pPr>
        <w:pStyle w:val="Heading1"/>
      </w:pPr>
      <w:r>
        <w:t>22  Semaglutide</w:t>
      </w:r>
    </w:p>
    <w:p>
      <w:r>
        <w:rPr>
          <w:b/>
        </w:rPr>
        <w:t xml:space="preserve">DESCRIPTION </w:t>
      </w:r>
      <w:r>
        <w:t>Semaglutide is a GLP-1 analogue studied in glucose regulation, appetite signalling and body-weight research.</w:t>
      </w:r>
    </w:p>
    <w:p>
      <w:r>
        <w:rPr>
          <w:b/>
        </w:rPr>
        <w:t xml:space="preserve">PROPERTIES </w:t>
      </w:r>
      <w:r>
        <w:t>Type: Peptide • Key details: GLP-1 receptor agonist</w:t>
      </w:r>
    </w:p>
    <w:p>
      <w:r>
        <w:rPr>
          <w:b/>
        </w:rPr>
        <w:t xml:space="preserve">PREPARATION </w:t>
      </w:r>
      <w:r>
        <w:t>Follow the product-specific laboratory preparation instructions. Confirm diluent compatibility before mixing.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Evidence depends on formulation and study population. A shared compound name does not establish equivalence with a tested medicinal preparation.</w:t>
      </w:r>
    </w:p>
    <w:p>
      <w:hyperlink r:id="rId33">
        <w:r>
          <w:rPr>
            <w:color w:val="17616B"/>
          </w:rPr>
          <w:t>RESEARCH OVERVIEW</w:t>
        </w:r>
      </w:hyperlink>
    </w:p>
    <w:p>
      <w:r>
        <w:br w:type="page"/>
      </w:r>
    </w:p>
    <w:p>
      <w:pPr>
        <w:pStyle w:val="Heading1"/>
      </w:pPr>
      <w:r>
        <w:t>23  Semax + Selank Blend</w:t>
      </w:r>
    </w:p>
    <w:p>
      <w:r>
        <w:rPr>
          <w:b/>
        </w:rPr>
        <w:t xml:space="preserve">DESCRIPTION </w:t>
      </w:r>
      <w:r>
        <w:t>Semax + Selank combines two distinct synthetic peptides associated with neurological signalling and stress-related research.</w:t>
      </w:r>
    </w:p>
    <w:p>
      <w:r>
        <w:rPr>
          <w:b/>
        </w:rPr>
        <w:t xml:space="preserve">PROPERTIES </w:t>
      </w:r>
      <w:r>
        <w:t>Type: Peptide blend • Key details: Semax plus Selank; confirm component quantities</w:t>
      </w:r>
    </w:p>
    <w:p>
      <w:r>
        <w:rPr>
          <w:b/>
        </w:rPr>
        <w:t xml:space="preserve">PREPARATION </w:t>
      </w:r>
      <w:r>
        <w:t>Follow the product-specific laboratory preparation instructions. Confirm diluent compatibility before mixing.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The peptides have different sequences and research histories. Combining them does not establish a clinically proven focus-and-calm effect.</w:t>
      </w:r>
    </w:p>
    <w:p>
      <w:hyperlink r:id="rId34">
        <w:r>
          <w:rPr>
            <w:color w:val="17616B"/>
          </w:rPr>
          <w:t>RESEARCH OVERVIEW</w:t>
        </w:r>
      </w:hyperlink>
    </w:p>
    <w:p>
      <w:pPr>
        <w:pStyle w:val="Heading1"/>
      </w:pPr>
      <w:r>
        <w:t>24  TB-500</w:t>
      </w:r>
    </w:p>
    <w:p>
      <w:r>
        <w:rPr>
          <w:b/>
        </w:rPr>
        <w:t xml:space="preserve">DESCRIPTION </w:t>
      </w:r>
      <w:r>
        <w:t>TB-500 is a research name associated with thymosin beta-4-related peptides and tissue-response studies.</w:t>
      </w:r>
    </w:p>
    <w:p>
      <w:r>
        <w:rPr>
          <w:b/>
        </w:rPr>
        <w:t xml:space="preserve">PROPERTIES </w:t>
      </w:r>
      <w:r>
        <w:t>Type: Peptide research material • Key details: Thymosin beta-4-related identity requires confirmation</w:t>
      </w:r>
    </w:p>
    <w:p>
      <w:r>
        <w:rPr>
          <w:b/>
        </w:rPr>
        <w:t xml:space="preserve">PREPARATION </w:t>
      </w:r>
      <w:r>
        <w:t>Confirm the material’s identity and formulation, then follow its product-specific laboratory preparation instructions.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A published analysis identified a short acetylated fragment. Full-length thymosin beta-4 and that fragment are different molecules; verify the supplied sequence.</w:t>
      </w:r>
    </w:p>
    <w:p>
      <w:hyperlink r:id="rId35">
        <w:r>
          <w:rPr>
            <w:color w:val="17616B"/>
          </w:rPr>
          <w:t>RESEARCH OVERVIEW</w:t>
        </w:r>
      </w:hyperlink>
    </w:p>
    <w:p>
      <w:r>
        <w:br w:type="page"/>
      </w:r>
    </w:p>
    <w:p>
      <w:pPr>
        <w:pStyle w:val="Heading1"/>
      </w:pPr>
      <w:r>
        <w:t>25  SNAP-8</w:t>
      </w:r>
    </w:p>
    <w:p>
      <w:r>
        <w:rPr>
          <w:b/>
        </w:rPr>
        <w:t xml:space="preserve">DESCRIPTION </w:t>
      </w:r>
      <w:r>
        <w:t>SNAP-8 is associated with an eight-residue cosmetic peptide studied in formulations addressing the appearance of expression lines.</w:t>
      </w:r>
    </w:p>
    <w:p>
      <w:r>
        <w:rPr>
          <w:b/>
        </w:rPr>
        <w:t xml:space="preserve">PROPERTIES </w:t>
      </w:r>
      <w:r>
        <w:t>Type: Cosmetic peptide • Key details: Associated with acetyl octapeptide-3</w:t>
      </w:r>
    </w:p>
    <w:p>
      <w:r>
        <w:rPr>
          <w:b/>
        </w:rPr>
        <w:t xml:space="preserve">PREPARATION </w:t>
      </w:r>
      <w:r>
        <w:t>Follow the product-specific laboratory preparation instructions. Confirm diluent compatibility before mixing.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Ingredient solutions and finished cosmetics are different preparations. A separately supplied peptide is not automatically the original branded ingredient.</w:t>
      </w:r>
    </w:p>
    <w:p>
      <w:hyperlink r:id="rId36">
        <w:r>
          <w:rPr>
            <w:color w:val="17616B"/>
          </w:rPr>
          <w:t>RESEARCH OVERVIEW</w:t>
        </w:r>
      </w:hyperlink>
    </w:p>
    <w:p>
      <w:pPr>
        <w:pStyle w:val="Heading1"/>
      </w:pPr>
      <w:r>
        <w:t>26  AHK-Cu</w:t>
      </w:r>
    </w:p>
    <w:p>
      <w:r>
        <w:rPr>
          <w:b/>
        </w:rPr>
        <w:t xml:space="preserve">DESCRIPTION </w:t>
      </w:r>
      <w:r>
        <w:t>AHK-Cu is a copper-binding tripeptide studied in skin-cell and hair-follicle biology.</w:t>
      </w:r>
    </w:p>
    <w:p>
      <w:r>
        <w:rPr>
          <w:b/>
        </w:rPr>
        <w:t xml:space="preserve">PROPERTIES </w:t>
      </w:r>
      <w:r>
        <w:t>Type: Copper peptide complex • Key details: Alanine–histidine–lysine with copper</w:t>
      </w:r>
    </w:p>
    <w:p>
      <w:r>
        <w:rPr>
          <w:b/>
        </w:rPr>
        <w:t xml:space="preserve">PREPARATION </w:t>
      </w:r>
      <w:r>
        <w:t>Follow the product-specific laboratory preparation instructions. Confirm diluent compatibility before mixing.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AHK-Cu has a different peptide sequence from GHK-Cu. Laboratory activity does not establish a finished product’s cosmetic performance.</w:t>
      </w:r>
    </w:p>
    <w:p>
      <w:hyperlink r:id="rId37">
        <w:r>
          <w:rPr>
            <w:color w:val="17616B"/>
          </w:rPr>
          <w:t>RESEARCH OVERVIEW</w:t>
        </w:r>
      </w:hyperlink>
    </w:p>
    <w:p>
      <w:r>
        <w:br w:type="page"/>
      </w:r>
    </w:p>
    <w:p>
      <w:pPr>
        <w:pStyle w:val="Heading1"/>
      </w:pPr>
      <w:r>
        <w:t>27  DSIP</w:t>
      </w:r>
    </w:p>
    <w:p>
      <w:r>
        <w:rPr>
          <w:b/>
        </w:rPr>
        <w:t xml:space="preserve">DESCRIPTION </w:t>
      </w:r>
      <w:r>
        <w:t>DSIP is a nine-amino-acid peptide investigated in sleep-related physiology and neuroendocrine research.</w:t>
      </w:r>
    </w:p>
    <w:p>
      <w:r>
        <w:rPr>
          <w:b/>
        </w:rPr>
        <w:t xml:space="preserve">PROPERTIES </w:t>
      </w:r>
      <w:r>
        <w:t>Type: Peptide • Key details: Delta sleep-inducing peptide; nine residues</w:t>
      </w:r>
    </w:p>
    <w:p>
      <w:r>
        <w:rPr>
          <w:b/>
        </w:rPr>
        <w:t xml:space="preserve">PREPARATION </w:t>
      </w:r>
      <w:r>
        <w:t>Follow the product-specific laboratory preparation instructions. Confirm diluent compatibility before mixing.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Its name reflects its research history, not a guaranteed sleep effect. Sleep outcomes and evidence quality vary across studies.</w:t>
      </w:r>
    </w:p>
    <w:p>
      <w:hyperlink r:id="rId38">
        <w:r>
          <w:rPr>
            <w:color w:val="17616B"/>
          </w:rPr>
          <w:t>RESEARCH OVERVIEW</w:t>
        </w:r>
      </w:hyperlink>
    </w:p>
    <w:p>
      <w:pPr>
        <w:pStyle w:val="Heading1"/>
      </w:pPr>
      <w:r>
        <w:t>28  Kisspeptin-10</w:t>
      </w:r>
    </w:p>
    <w:p>
      <w:r>
        <w:rPr>
          <w:b/>
        </w:rPr>
        <w:t xml:space="preserve">DESCRIPTION </w:t>
      </w:r>
      <w:r>
        <w:t>Kisspeptin-10 is a short kisspeptin fragment studied in reproductive hormone signalling and regulation of the GnRH pathway.</w:t>
      </w:r>
    </w:p>
    <w:p>
      <w:r>
        <w:rPr>
          <w:b/>
        </w:rPr>
        <w:t xml:space="preserve">PROPERTIES </w:t>
      </w:r>
      <w:r>
        <w:t>Type: Peptide • Key details: KISS1R agonist; ten residues</w:t>
      </w:r>
    </w:p>
    <w:p>
      <w:r>
        <w:rPr>
          <w:b/>
        </w:rPr>
        <w:t xml:space="preserve">PREPARATION </w:t>
      </w:r>
      <w:r>
        <w:t>Follow the product-specific laboratory preparation instructions. Confirm diluent compatibility before mixing.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It differs from longer kisspeptin forms. Hormonal responses in a study do not establish fertility outcomes for every preparation.</w:t>
      </w:r>
    </w:p>
    <w:p>
      <w:hyperlink r:id="rId39">
        <w:r>
          <w:rPr>
            <w:color w:val="17616B"/>
          </w:rPr>
          <w:t>RESEARCH OVERVIEW</w:t>
        </w:r>
      </w:hyperlink>
    </w:p>
    <w:p>
      <w:r>
        <w:br w:type="page"/>
      </w:r>
    </w:p>
    <w:p>
      <w:pPr>
        <w:pStyle w:val="Heading1"/>
      </w:pPr>
      <w:r>
        <w:t>29  Selank</w:t>
      </w:r>
    </w:p>
    <w:p>
      <w:r>
        <w:rPr>
          <w:b/>
        </w:rPr>
        <w:t xml:space="preserve">DESCRIPTION </w:t>
      </w:r>
      <w:r>
        <w:t>Selank is a synthetic peptide investigated in neurotransmission, stress responses and anxiety-related research.</w:t>
      </w:r>
    </w:p>
    <w:p>
      <w:r>
        <w:rPr>
          <w:b/>
        </w:rPr>
        <w:t xml:space="preserve">PROPERTIES </w:t>
      </w:r>
      <w:r>
        <w:t>Type: Peptide • Key details: Tuftsin-related heptapeptide</w:t>
      </w:r>
    </w:p>
    <w:p>
      <w:r>
        <w:rPr>
          <w:b/>
        </w:rPr>
        <w:t xml:space="preserve">PREPARATION </w:t>
      </w:r>
      <w:r>
        <w:t>Follow the product-specific laboratory preparation instructions. Confirm diluent compatibility before mixing.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Selank is chemically distinct from Semax and from modified Selank analogues. Evidence must match the actual sequence and preparation.</w:t>
      </w:r>
    </w:p>
    <w:p>
      <w:hyperlink r:id="rId40">
        <w:r>
          <w:rPr>
            <w:color w:val="17616B"/>
          </w:rPr>
          <w:t>RESEARCH OVERVIEW</w:t>
        </w:r>
      </w:hyperlink>
    </w:p>
    <w:p>
      <w:pPr>
        <w:pStyle w:val="Heading1"/>
      </w:pPr>
      <w:r>
        <w:t>30  CJC-1295 DAC</w:t>
      </w:r>
    </w:p>
    <w:p>
      <w:r>
        <w:rPr>
          <w:b/>
        </w:rPr>
        <w:t xml:space="preserve">DESCRIPTION </w:t>
      </w:r>
      <w:r>
        <w:t>CJC-1295 DAC is a modified GHRH analogue studied in prolonged growth hormone and IGF-1 signalling.</w:t>
      </w:r>
    </w:p>
    <w:p>
      <w:r>
        <w:rPr>
          <w:b/>
        </w:rPr>
        <w:t xml:space="preserve">PROPERTIES </w:t>
      </w:r>
      <w:r>
        <w:t>Type: Modified peptide • Key details: GHRH analogue with albumin-binding modification</w:t>
      </w:r>
    </w:p>
    <w:p>
      <w:r>
        <w:rPr>
          <w:b/>
        </w:rPr>
        <w:t xml:space="preserve">PREPARATION </w:t>
      </w:r>
      <w:r>
        <w:t>Follow the product-specific laboratory preparation instructions. Confirm diluent compatibility before mixing.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The DAC modification supports albumin binding. Findings for this molecule should not be transferred directly to products labelled No DAC.</w:t>
      </w:r>
    </w:p>
    <w:p>
      <w:hyperlink r:id="rId41">
        <w:r>
          <w:rPr>
            <w:color w:val="17616B"/>
          </w:rPr>
          <w:t>RESEARCH OVERVIEW</w:t>
        </w:r>
      </w:hyperlink>
    </w:p>
    <w:p>
      <w:r>
        <w:br w:type="page"/>
      </w:r>
    </w:p>
    <w:p>
      <w:pPr>
        <w:pStyle w:val="Heading1"/>
      </w:pPr>
      <w:r>
        <w:t>31  CJC-1295 No DAC</w:t>
      </w:r>
    </w:p>
    <w:p>
      <w:r>
        <w:rPr>
          <w:b/>
        </w:rPr>
        <w:t xml:space="preserve">DESCRIPTION </w:t>
      </w:r>
      <w:r>
        <w:t>CJC-1295 No DAC is a research-market name commonly used for a modified GHRH fragment without the DAC modification.</w:t>
      </w:r>
    </w:p>
    <w:p>
      <w:r>
        <w:rPr>
          <w:b/>
        </w:rPr>
        <w:t xml:space="preserve">PROPERTIES </w:t>
      </w:r>
      <w:r>
        <w:t>Type: Peptide analogue • Key details: Commonly associated with modified GRF (1–29)</w:t>
      </w:r>
    </w:p>
    <w:p>
      <w:r>
        <w:rPr>
          <w:b/>
        </w:rPr>
        <w:t xml:space="preserve">PREPARATION </w:t>
      </w:r>
      <w:r>
        <w:t>Follow the product-specific laboratory preparation instructions. Confirm diluent compatibility before mixing.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Sequence confirmation is important. Human studies of long-acting CJC-1295 DAC do not automatically validate the non-DAC material.</w:t>
      </w:r>
    </w:p>
    <w:p>
      <w:hyperlink r:id="rId42">
        <w:r>
          <w:rPr>
            <w:color w:val="17616B"/>
          </w:rPr>
          <w:t>RESEARCH OVERVIEW</w:t>
        </w:r>
      </w:hyperlink>
    </w:p>
    <w:p>
      <w:pPr>
        <w:pStyle w:val="Heading1"/>
      </w:pPr>
      <w:r>
        <w:t>32  Cagrilintide</w:t>
      </w:r>
    </w:p>
    <w:p>
      <w:r>
        <w:rPr>
          <w:b/>
        </w:rPr>
        <w:t xml:space="preserve">DESCRIPTION </w:t>
      </w:r>
      <w:r>
        <w:t>Cagrilintide is an amylin analogue studied in satiety, appetite regulation and body-weight research.</w:t>
      </w:r>
    </w:p>
    <w:p>
      <w:r>
        <w:rPr>
          <w:b/>
        </w:rPr>
        <w:t xml:space="preserve">PROPERTIES </w:t>
      </w:r>
      <w:r>
        <w:t>Type: Peptide analogue • Key details: Long-acting amylin analogue</w:t>
      </w:r>
    </w:p>
    <w:p>
      <w:r>
        <w:rPr>
          <w:b/>
        </w:rPr>
        <w:t xml:space="preserve">PREPARATION </w:t>
      </w:r>
      <w:r>
        <w:t>Follow the product-specific laboratory preparation instructions. Confirm diluent compatibility before mixing.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It acts through amylin-related receptor systems and differs from GLP-1 agonists. Combination-study findings depend on the complete treatment studied.</w:t>
      </w:r>
    </w:p>
    <w:p>
      <w:hyperlink r:id="rId43">
        <w:r>
          <w:rPr>
            <w:color w:val="17616B"/>
          </w:rPr>
          <w:t>RESEARCH OVERVIEW</w:t>
        </w:r>
      </w:hyperlink>
    </w:p>
    <w:p>
      <w:r>
        <w:br w:type="page"/>
      </w:r>
    </w:p>
    <w:p>
      <w:pPr>
        <w:pStyle w:val="Heading1"/>
      </w:pPr>
      <w:r>
        <w:t>33  ARA-290</w:t>
      </w:r>
    </w:p>
    <w:p>
      <w:r>
        <w:rPr>
          <w:b/>
        </w:rPr>
        <w:t xml:space="preserve">DESCRIPTION </w:t>
      </w:r>
      <w:r>
        <w:t>ARA-290 is an erythropoietin-derived peptide investigated in tissue-protective signalling and small-fibre neuropathy research.</w:t>
      </w:r>
    </w:p>
    <w:p>
      <w:r>
        <w:rPr>
          <w:b/>
        </w:rPr>
        <w:t xml:space="preserve">PROPERTIES </w:t>
      </w:r>
      <w:r>
        <w:t>Type: Peptide • Key details: Also called cibinetide</w:t>
      </w:r>
    </w:p>
    <w:p>
      <w:r>
        <w:rPr>
          <w:b/>
        </w:rPr>
        <w:t xml:space="preserve">PREPARATION </w:t>
      </w:r>
      <w:r>
        <w:t>Follow the product-specific laboratory preparation instructions. Confirm diluent compatibility before mixing.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It was designed to separate tissue-protective activity from red blood cell stimulation. Clinical findings remain preparation- and condition-specific.</w:t>
      </w:r>
    </w:p>
    <w:p>
      <w:hyperlink r:id="rId44">
        <w:r>
          <w:rPr>
            <w:color w:val="17616B"/>
          </w:rPr>
          <w:t>RESEARCH OVERVIEW</w:t>
        </w:r>
      </w:hyperlink>
    </w:p>
    <w:p>
      <w:pPr>
        <w:pStyle w:val="Heading1"/>
      </w:pPr>
      <w:r>
        <w:t>34  Epitalon</w:t>
      </w:r>
    </w:p>
    <w:p>
      <w:r>
        <w:rPr>
          <w:b/>
        </w:rPr>
        <w:t xml:space="preserve">DESCRIPTION </w:t>
      </w:r>
      <w:r>
        <w:t>Epitalon is a four-amino-acid peptide studied in cellular ageing, telomere-associated biology and experimental cell responses.</w:t>
      </w:r>
    </w:p>
    <w:p>
      <w:r>
        <w:rPr>
          <w:b/>
        </w:rPr>
        <w:t xml:space="preserve">PROPERTIES </w:t>
      </w:r>
      <w:r>
        <w:t>Type: Tetrapeptide • Key details: Ala–Glu–Asp–Gly</w:t>
      </w:r>
    </w:p>
    <w:p>
      <w:r>
        <w:rPr>
          <w:b/>
        </w:rPr>
        <w:t xml:space="preserve">PREPARATION </w:t>
      </w:r>
      <w:r>
        <w:t>Follow the product-specific laboratory preparation instructions. Confirm diluent compatibility before mixing.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It differs from the pineal-derived preparation Epithalamin. Cell-level findings do not establish extended human lifespan.</w:t>
      </w:r>
    </w:p>
    <w:p>
      <w:hyperlink r:id="rId45">
        <w:r>
          <w:rPr>
            <w:color w:val="17616B"/>
          </w:rPr>
          <w:t>RESEARCH OVERVIEW</w:t>
        </w:r>
      </w:hyperlink>
    </w:p>
    <w:p>
      <w:r>
        <w:br w:type="page"/>
      </w:r>
    </w:p>
    <w:p>
      <w:pPr>
        <w:pStyle w:val="Heading1"/>
      </w:pPr>
      <w:r>
        <w:t>35  Thymosin Alpha-1</w:t>
      </w:r>
    </w:p>
    <w:p>
      <w:r>
        <w:rPr>
          <w:b/>
        </w:rPr>
        <w:t xml:space="preserve">DESCRIPTION </w:t>
      </w:r>
      <w:r>
        <w:t>Thymosin alpha-1 is a thymic peptide studied in immune signalling and immune-response research.</w:t>
      </w:r>
    </w:p>
    <w:p>
      <w:r>
        <w:rPr>
          <w:b/>
        </w:rPr>
        <w:t xml:space="preserve">PROPERTIES </w:t>
      </w:r>
      <w:r>
        <w:t>Type: Peptide • Key details: 28 amino acids; synthetic form called thymalfasin</w:t>
      </w:r>
    </w:p>
    <w:p>
      <w:r>
        <w:rPr>
          <w:b/>
        </w:rPr>
        <w:t xml:space="preserve">PREPARATION </w:t>
      </w:r>
      <w:r>
        <w:t>Follow the product-specific laboratory preparation instructions. Confirm diluent compatibility before mixing.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It is distinct from thymosin beta-4 and mixed thymus extracts. Outcomes depend on the condition, preparation and clinical study.</w:t>
      </w:r>
    </w:p>
    <w:p>
      <w:hyperlink r:id="rId46">
        <w:r>
          <w:rPr>
            <w:color w:val="17616B"/>
          </w:rPr>
          <w:t>RESEARCH OVERVIEW</w:t>
        </w:r>
      </w:hyperlink>
    </w:p>
    <w:p>
      <w:pPr>
        <w:pStyle w:val="Heading1"/>
      </w:pPr>
      <w:r>
        <w:t>36  AOD-9604</w:t>
      </w:r>
    </w:p>
    <w:p>
      <w:r>
        <w:rPr>
          <w:b/>
        </w:rPr>
        <w:t xml:space="preserve">DESCRIPTION </w:t>
      </w:r>
      <w:r>
        <w:t>AOD-9604 is a growth hormone fragment analogue investigated in lipid metabolism and body-weight research.</w:t>
      </w:r>
    </w:p>
    <w:p>
      <w:r>
        <w:rPr>
          <w:b/>
        </w:rPr>
        <w:t xml:space="preserve">PROPERTIES </w:t>
      </w:r>
      <w:r>
        <w:t>Type: Peptide analogue • Key details: Modified growth hormone fragment</w:t>
      </w:r>
    </w:p>
    <w:p>
      <w:r>
        <w:rPr>
          <w:b/>
        </w:rPr>
        <w:t xml:space="preserve">PREPARATION </w:t>
      </w:r>
      <w:r>
        <w:t>Follow the product-specific laboratory preparation instructions. Confirm diluent compatibility before mixing.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It is not intact HGH. A proposed metabolic mechanism does not establish reliable fat-loss results in people.</w:t>
      </w:r>
    </w:p>
    <w:p>
      <w:hyperlink r:id="rId47">
        <w:r>
          <w:rPr>
            <w:color w:val="17616B"/>
          </w:rPr>
          <w:t>RESEARCH OVERVIEW</w:t>
        </w:r>
      </w:hyperlink>
    </w:p>
    <w:p>
      <w:r>
        <w:br w:type="page"/>
      </w:r>
    </w:p>
    <w:p>
      <w:pPr>
        <w:pStyle w:val="Heading1"/>
      </w:pPr>
      <w:r>
        <w:t>37  5-Amino-1MQ</w:t>
      </w:r>
    </w:p>
    <w:p>
      <w:r>
        <w:rPr>
          <w:b/>
        </w:rPr>
        <w:t xml:space="preserve">DESCRIPTION </w:t>
      </w:r>
      <w:r>
        <w:t>5-Amino-1MQ is a small molecule studied as an inhibitor of nicotinamide N-methyltransferase, or NNMT, in metabolic research.</w:t>
      </w:r>
    </w:p>
    <w:p>
      <w:r>
        <w:rPr>
          <w:b/>
        </w:rPr>
        <w:t xml:space="preserve">PROPERTIES </w:t>
      </w:r>
      <w:r>
        <w:t>Type: Small molecule • Key details: 5-amino-1-methylquinolinium</w:t>
      </w:r>
    </w:p>
    <w:p>
      <w:r>
        <w:rPr>
          <w:b/>
        </w:rPr>
        <w:t xml:space="preserve">PREPARATION </w:t>
      </w:r>
      <w:r>
        <w:t>Follow the chemical specification and a validated laboratory solvent protocol. Do not assume compatibility with water.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It is not a peptide. The counterion and reporting basis matter when describing molecular mass, content and the supplied chemical form.</w:t>
      </w:r>
    </w:p>
    <w:p>
      <w:hyperlink r:id="rId48">
        <w:r>
          <w:rPr>
            <w:color w:val="17616B"/>
          </w:rPr>
          <w:t>RESEARCH OVERVIEW</w:t>
        </w:r>
      </w:hyperlink>
    </w:p>
    <w:p>
      <w:pPr>
        <w:pStyle w:val="Heading1"/>
      </w:pPr>
      <w:r>
        <w:t>38  ADAMAX</w:t>
      </w:r>
    </w:p>
    <w:p>
      <w:r>
        <w:rPr>
          <w:b/>
        </w:rPr>
        <w:t xml:space="preserve">DESCRIPTION </w:t>
      </w:r>
      <w:r>
        <w:t>ADAMAX is a name used for a Semax-related research analogue. Exact sequence and chemical modifications require confirmation.</w:t>
      </w:r>
    </w:p>
    <w:p>
      <w:r>
        <w:rPr>
          <w:b/>
        </w:rPr>
        <w:t xml:space="preserve">PROPERTIES </w:t>
      </w:r>
      <w:r>
        <w:t>Type: Research analogue name • Key details: ACTH/Semax-related naming context</w:t>
      </w:r>
    </w:p>
    <w:p>
      <w:r>
        <w:rPr>
          <w:b/>
        </w:rPr>
        <w:t xml:space="preserve">PREPARATION </w:t>
      </w:r>
      <w:r>
        <w:t>Confirm the material’s identity and formulation, then follow its product-specific laboratory preparation instructions.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Direct public evidence is limited. Research on Semax does not establish the properties or effects of an unspecified ADAMAX preparation.</w:t>
      </w:r>
    </w:p>
    <w:p>
      <w:hyperlink r:id="rId49">
        <w:r>
          <w:rPr>
            <w:color w:val="17616B"/>
          </w:rPr>
          <w:t>RESEARCH OVERVIEW</w:t>
        </w:r>
      </w:hyperlink>
    </w:p>
    <w:p>
      <w:r>
        <w:br w:type="page"/>
      </w:r>
    </w:p>
    <w:p>
      <w:pPr>
        <w:pStyle w:val="Heading1"/>
      </w:pPr>
      <w:r>
        <w:t>39  FOXO4-DRI</w:t>
      </w:r>
    </w:p>
    <w:p>
      <w:r>
        <w:rPr>
          <w:b/>
        </w:rPr>
        <w:t xml:space="preserve">DESCRIPTION </w:t>
      </w:r>
      <w:r>
        <w:t>FOXO4-DRI is an engineered peptide studied in senescent-cell biology and interactions involving FOXO4 and p53.</w:t>
      </w:r>
    </w:p>
    <w:p>
      <w:r>
        <w:rPr>
          <w:b/>
        </w:rPr>
        <w:t xml:space="preserve">PROPERTIES </w:t>
      </w:r>
      <w:r>
        <w:t>Type: Engineered peptide • Key details: D-retro-inverso design</w:t>
      </w:r>
    </w:p>
    <w:p>
      <w:r>
        <w:rPr>
          <w:b/>
        </w:rPr>
        <w:t xml:space="preserve">PREPARATION </w:t>
      </w:r>
      <w:r>
        <w:t>Follow the product-specific laboratory preparation instructions. Confirm diluent compatibility before mixing.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Research is predominantly preclinical. Changes in senescent-cell models do not establish rejuvenation or longevity benefits in people.</w:t>
      </w:r>
    </w:p>
    <w:p>
      <w:hyperlink r:id="rId50">
        <w:r>
          <w:rPr>
            <w:color w:val="17616B"/>
          </w:rPr>
          <w:t>RESEARCH OVERVIEW</w:t>
        </w:r>
      </w:hyperlink>
    </w:p>
    <w:p>
      <w:pPr>
        <w:pStyle w:val="Heading1"/>
      </w:pPr>
      <w:r>
        <w:t>40  Dihexa</w:t>
      </w:r>
    </w:p>
    <w:p>
      <w:r>
        <w:rPr>
          <w:b/>
        </w:rPr>
        <w:t xml:space="preserve">DESCRIPTION </w:t>
      </w:r>
      <w:r>
        <w:t>Dihexa is an angiotensin IV-derived compound discussed in experimental neurological signalling and cognition research.</w:t>
      </w:r>
    </w:p>
    <w:p>
      <w:r>
        <w:rPr>
          <w:b/>
        </w:rPr>
        <w:t xml:space="preserve">PROPERTIES </w:t>
      </w:r>
      <w:r>
        <w:t>Type: Peptidomimetic • Key details: Angiotensin IV-derived compound</w:t>
      </w:r>
    </w:p>
    <w:p>
      <w:r>
        <w:rPr>
          <w:b/>
        </w:rPr>
        <w:t xml:space="preserve">PREPARATION </w:t>
      </w:r>
      <w:r>
        <w:t>Follow the chemical specification and a validated laboratory solvent protocol. Do not assume compatibility with water.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Key papers have a notice of concern or retraction. These research-integrity issues limit claims about its proposed mechanism and benefits.</w:t>
      </w:r>
    </w:p>
    <w:p>
      <w:hyperlink r:id="rId51">
        <w:r>
          <w:rPr>
            <w:color w:val="17616B"/>
          </w:rPr>
          <w:t>RESEARCH OVERVIEW</w:t>
        </w:r>
      </w:hyperlink>
    </w:p>
    <w:p>
      <w:r>
        <w:br w:type="page"/>
      </w:r>
    </w:p>
    <w:p>
      <w:pPr>
        <w:pStyle w:val="Heading1"/>
      </w:pPr>
      <w:r>
        <w:t>41  Sermorelin</w:t>
      </w:r>
    </w:p>
    <w:p>
      <w:r>
        <w:rPr>
          <w:b/>
        </w:rPr>
        <w:t xml:space="preserve">DESCRIPTION </w:t>
      </w:r>
      <w:r>
        <w:t>Sermorelin is a GHRH-derived peptide studied in pituitary growth hormone release and endocrine responses.</w:t>
      </w:r>
    </w:p>
    <w:p>
      <w:r>
        <w:rPr>
          <w:b/>
        </w:rPr>
        <w:t xml:space="preserve">PROPERTIES </w:t>
      </w:r>
      <w:r>
        <w:t>Type: Peptide • Key details: Amidated GHRH (1–29)</w:t>
      </w:r>
    </w:p>
    <w:p>
      <w:r>
        <w:rPr>
          <w:b/>
        </w:rPr>
        <w:t xml:space="preserve">PREPARATION </w:t>
      </w:r>
      <w:r>
        <w:t>Follow the product-specific laboratory preparation instructions. Confirm diluent compatibility before mixing.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It acts upstream of growth hormone and differs from longer or chemically modified GHRH analogues. Research should match the exact preparation.</w:t>
      </w:r>
    </w:p>
    <w:p>
      <w:hyperlink r:id="rId52">
        <w:r>
          <w:rPr>
            <w:color w:val="17616B"/>
          </w:rPr>
          <w:t>RESEARCH OVERVIEW</w:t>
        </w:r>
      </w:hyperlink>
    </w:p>
    <w:p>
      <w:pPr>
        <w:pStyle w:val="Heading1"/>
      </w:pPr>
      <w:r>
        <w:t>42  GHRP-2</w:t>
      </w:r>
    </w:p>
    <w:p>
      <w:r>
        <w:rPr>
          <w:b/>
        </w:rPr>
        <w:t xml:space="preserve">DESCRIPTION </w:t>
      </w:r>
      <w:r>
        <w:t>GHRP-2 is a six-residue peptide studied in growth hormone release and ghrelin receptor signalling.</w:t>
      </w:r>
    </w:p>
    <w:p>
      <w:r>
        <w:rPr>
          <w:b/>
        </w:rPr>
        <w:t xml:space="preserve">PROPERTIES </w:t>
      </w:r>
      <w:r>
        <w:t>Type: Hexapeptide • Key details: Growth hormone secretagogue</w:t>
      </w:r>
    </w:p>
    <w:p>
      <w:r>
        <w:rPr>
          <w:b/>
        </w:rPr>
        <w:t xml:space="preserve">PREPARATION </w:t>
      </w:r>
      <w:r>
        <w:t>Follow the product-specific laboratory preparation instructions. Confirm diluent compatibility before mixing.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It differs chemically from GHRP-6 and from GHRH analogues. Hormone responses do not establish predictable body-composition outcomes.</w:t>
      </w:r>
    </w:p>
    <w:p>
      <w:hyperlink r:id="rId53">
        <w:r>
          <w:rPr>
            <w:color w:val="17616B"/>
          </w:rPr>
          <w:t>RESEARCH OVERVIEW</w:t>
        </w:r>
      </w:hyperlink>
    </w:p>
    <w:p>
      <w:r>
        <w:br w:type="page"/>
      </w:r>
    </w:p>
    <w:p>
      <w:pPr>
        <w:pStyle w:val="Heading1"/>
      </w:pPr>
      <w:r>
        <w:t>43  GHRP-6</w:t>
      </w:r>
    </w:p>
    <w:p>
      <w:r>
        <w:rPr>
          <w:b/>
        </w:rPr>
        <w:t xml:space="preserve">DESCRIPTION </w:t>
      </w:r>
      <w:r>
        <w:t>GHRP-6 is a six-residue peptide investigated in growth hormone secretion, appetite-related signalling and endocrine research.</w:t>
      </w:r>
    </w:p>
    <w:p>
      <w:r>
        <w:rPr>
          <w:b/>
        </w:rPr>
        <w:t xml:space="preserve">PROPERTIES </w:t>
      </w:r>
      <w:r>
        <w:t>Type: Hexapeptide • Key details: Growth hormone secretagogue</w:t>
      </w:r>
    </w:p>
    <w:p>
      <w:r>
        <w:rPr>
          <w:b/>
        </w:rPr>
        <w:t xml:space="preserve">PREPARATION </w:t>
      </w:r>
      <w:r>
        <w:t>Follow the product-specific laboratory preparation instructions. Confirm diluent compatibility before mixing.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Its ghrelin receptor pathway differs from the GHRH pathway. Study findings depend on experimental conditions and the preparation used.</w:t>
      </w:r>
    </w:p>
    <w:p>
      <w:hyperlink r:id="rId54">
        <w:r>
          <w:rPr>
            <w:color w:val="17616B"/>
          </w:rPr>
          <w:t>RESEARCH OVERVIEW</w:t>
        </w:r>
      </w:hyperlink>
    </w:p>
    <w:p>
      <w:pPr>
        <w:pStyle w:val="Heading1"/>
      </w:pPr>
      <w:r>
        <w:t>44  Melatonin</w:t>
      </w:r>
    </w:p>
    <w:p>
      <w:r>
        <w:rPr>
          <w:b/>
        </w:rPr>
        <w:t xml:space="preserve">DESCRIPTION </w:t>
      </w:r>
      <w:r>
        <w:t>Melatonin is a naturally occurring hormone studied in circadian timing, sleep–wake regulation and responses to the light–dark cycle.</w:t>
      </w:r>
    </w:p>
    <w:p>
      <w:r>
        <w:rPr>
          <w:b/>
        </w:rPr>
        <w:t xml:space="preserve">PROPERTIES </w:t>
      </w:r>
      <w:r>
        <w:t>Type: Indoleamine hormone • Key details: N-acetyl-5-methoxytryptamine</w:t>
      </w:r>
    </w:p>
    <w:p>
      <w:r>
        <w:rPr>
          <w:b/>
        </w:rPr>
        <w:t xml:space="preserve">PREPARATION </w:t>
      </w:r>
      <w:r>
        <w:t>Follow the chemical specification and a validated laboratory solvent protocol. Do not assume compatibility with water.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Melatonin is not a peptide. Research findings vary with timing, formulation and study population.</w:t>
      </w:r>
    </w:p>
    <w:p>
      <w:hyperlink r:id="rId55">
        <w:r>
          <w:rPr>
            <w:color w:val="17616B"/>
          </w:rPr>
          <w:t>RESEARCH OVERVIEW</w:t>
        </w:r>
      </w:hyperlink>
    </w:p>
    <w:p>
      <w:r>
        <w:br w:type="page"/>
      </w:r>
    </w:p>
    <w:p>
      <w:pPr>
        <w:pStyle w:val="Heading1"/>
      </w:pPr>
      <w:r>
        <w:t>45  PNC-27</w:t>
      </w:r>
    </w:p>
    <w:p>
      <w:r>
        <w:rPr>
          <w:b/>
        </w:rPr>
        <w:t xml:space="preserve">DESCRIPTION </w:t>
      </w:r>
      <w:r>
        <w:t>PNC-27 is an experimental peptide studied in membrane-associated HDM2 biology and cancer-cell models.</w:t>
      </w:r>
    </w:p>
    <w:p>
      <w:r>
        <w:rPr>
          <w:b/>
        </w:rPr>
        <w:t xml:space="preserve">PROPERTIES </w:t>
      </w:r>
      <w:r>
        <w:t>Type: Chimeric peptide • Key details: p53-derived segment with membrane-penetrating segment</w:t>
      </w:r>
    </w:p>
    <w:p>
      <w:r>
        <w:rPr>
          <w:b/>
        </w:rPr>
        <w:t xml:space="preserve">PREPARATION </w:t>
      </w:r>
      <w:r>
        <w:t>Follow the product-specific laboratory preparation instructions. Confirm diluent compatibility before mixing.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Cell and animal findings do not establish a safe or effective cancer treatment in people. The complete sequence determines the material’s identity.</w:t>
      </w:r>
    </w:p>
    <w:p>
      <w:hyperlink r:id="rId56">
        <w:r>
          <w:rPr>
            <w:color w:val="17616B"/>
          </w:rPr>
          <w:t>RESEARCH OVERVIEW</w:t>
        </w:r>
      </w:hyperlink>
    </w:p>
    <w:p>
      <w:pPr>
        <w:pStyle w:val="Heading1"/>
      </w:pPr>
      <w:r>
        <w:t>46  VIP</w:t>
      </w:r>
    </w:p>
    <w:p>
      <w:r>
        <w:rPr>
          <w:b/>
        </w:rPr>
        <w:t xml:space="preserve">DESCRIPTION </w:t>
      </w:r>
      <w:r>
        <w:t>VIP is a signalling peptide studied in vascular responses, immune biology and VPAC receptor pathways.</w:t>
      </w:r>
    </w:p>
    <w:p>
      <w:r>
        <w:rPr>
          <w:b/>
        </w:rPr>
        <w:t xml:space="preserve">PROPERTIES </w:t>
      </w:r>
      <w:r>
        <w:t>Type: Peptide • Key details: Vasoactive intestinal peptide; 28 residues</w:t>
      </w:r>
    </w:p>
    <w:p>
      <w:r>
        <w:rPr>
          <w:b/>
        </w:rPr>
        <w:t xml:space="preserve">PREPARATION </w:t>
      </w:r>
      <w:r>
        <w:t>Follow the product-specific laboratory preparation instructions. Confirm diluent compatibility before mixing.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Its actions extend beyond the intestine. Evidence for a specific aviptadil formulation does not validate every material labelled VIP.</w:t>
      </w:r>
    </w:p>
    <w:p>
      <w:hyperlink r:id="rId57">
        <w:r>
          <w:rPr>
            <w:color w:val="17616B"/>
          </w:rPr>
          <w:t>RESEARCH OVERVIEW</w:t>
        </w:r>
      </w:hyperlink>
    </w:p>
    <w:p>
      <w:r>
        <w:br w:type="page"/>
      </w:r>
    </w:p>
    <w:p>
      <w:pPr>
        <w:pStyle w:val="Heading1"/>
      </w:pPr>
      <w:r>
        <w:t>47  ADALANK</w:t>
      </w:r>
    </w:p>
    <w:p>
      <w:r>
        <w:rPr>
          <w:b/>
        </w:rPr>
        <w:t xml:space="preserve">DESCRIPTION </w:t>
      </w:r>
      <w:r>
        <w:t>ADALANK is a name used for a Selank-related research material whose complete chemical identity needs confirmation.</w:t>
      </w:r>
    </w:p>
    <w:p>
      <w:r>
        <w:rPr>
          <w:b/>
        </w:rPr>
        <w:t xml:space="preserve">PROPERTIES </w:t>
      </w:r>
      <w:r>
        <w:t>Type: Research material name • Key details: Selank-related identity requires verification</w:t>
      </w:r>
    </w:p>
    <w:p>
      <w:r>
        <w:rPr>
          <w:b/>
        </w:rPr>
        <w:t xml:space="preserve">PREPARATION </w:t>
      </w:r>
      <w:r>
        <w:t>Confirm the material’s identity and formulation, then follow its product-specific laboratory preparation instructions.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Names alone cannot establish sequence, modifications or biological activity. Findings for Selank should not be presented as direct ADALANK evidence.</w:t>
      </w:r>
    </w:p>
    <w:p>
      <w:hyperlink r:id="rId58">
        <w:r>
          <w:rPr>
            <w:color w:val="17616B"/>
          </w:rPr>
          <w:t>RESEARCH OVERVIEW</w:t>
        </w:r>
      </w:hyperlink>
    </w:p>
    <w:p>
      <w:pPr>
        <w:pStyle w:val="Heading1"/>
      </w:pPr>
      <w:r>
        <w:t>48  Cartalax</w:t>
      </w:r>
    </w:p>
    <w:p>
      <w:r>
        <w:rPr>
          <w:b/>
        </w:rPr>
        <w:t xml:space="preserve">DESCRIPTION </w:t>
      </w:r>
      <w:r>
        <w:t>Cartalax is associated with the AED tripeptide studied in cartilage-cell biology and cellular ageing markers.</w:t>
      </w:r>
    </w:p>
    <w:p>
      <w:r>
        <w:rPr>
          <w:b/>
        </w:rPr>
        <w:t xml:space="preserve">PROPERTIES </w:t>
      </w:r>
      <w:r>
        <w:t>Type: Tripeptide • Key details: Ala–Glu–Asp; AED</w:t>
      </w:r>
    </w:p>
    <w:p>
      <w:r>
        <w:rPr>
          <w:b/>
        </w:rPr>
        <w:t xml:space="preserve">PREPARATION </w:t>
      </w:r>
      <w:r>
        <w:t>Follow the product-specific laboratory preparation instructions. Confirm diluent compatibility before mixing.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It differs from mixed cartilage extracts and the related tetrapeptide Epitalon. Cultured-cell findings do not establish cartilage regeneration in people.</w:t>
      </w:r>
    </w:p>
    <w:p>
      <w:hyperlink r:id="rId59">
        <w:r>
          <w:rPr>
            <w:color w:val="17616B"/>
          </w:rPr>
          <w:t>RESEARCH OVERVIEW</w:t>
        </w:r>
      </w:hyperlink>
    </w:p>
    <w:p>
      <w:r>
        <w:br w:type="page"/>
      </w:r>
    </w:p>
    <w:p>
      <w:pPr>
        <w:pStyle w:val="Heading1"/>
      </w:pPr>
      <w:r>
        <w:t>49  Cerebrolysin</w:t>
      </w:r>
    </w:p>
    <w:p>
      <w:r>
        <w:rPr>
          <w:b/>
        </w:rPr>
        <w:t xml:space="preserve">DESCRIPTION </w:t>
      </w:r>
      <w:r>
        <w:t>Cerebrolysin is associated with a manufactured peptide and amino-acid preparation studied in neurological conditions.</w:t>
      </w:r>
    </w:p>
    <w:p>
      <w:r>
        <w:rPr>
          <w:b/>
        </w:rPr>
        <w:t xml:space="preserve">PROPERTIES </w:t>
      </w:r>
      <w:r>
        <w:t>Type: Peptide and amino-acid preparation • Key details: Composition depends on the manufactured preparation</w:t>
      </w:r>
    </w:p>
    <w:p>
      <w:r>
        <w:rPr>
          <w:b/>
        </w:rPr>
        <w:t xml:space="preserve">PREPARATION </w:t>
      </w:r>
      <w:r>
        <w:t>Confirm the material’s identity and formulation, then follow its product-specific laboratory preparation instructions.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A separately supplied powder or mixture cannot be assumed equivalent to the clinical preparation. Source, composition and formulation require confirmation.</w:t>
      </w:r>
    </w:p>
    <w:p>
      <w:hyperlink r:id="rId60">
        <w:r>
          <w:rPr>
            <w:color w:val="17616B"/>
          </w:rPr>
          <w:t>RESEARCH OVERVIEW</w:t>
        </w:r>
      </w:hyperlink>
    </w:p>
    <w:p>
      <w:pPr>
        <w:pStyle w:val="Heading1"/>
      </w:pPr>
      <w:r>
        <w:t>50  IGF-1 DES</w:t>
      </w:r>
    </w:p>
    <w:p>
      <w:r>
        <w:rPr>
          <w:b/>
        </w:rPr>
        <w:t xml:space="preserve">DESCRIPTION </w:t>
      </w:r>
      <w:r>
        <w:t>IGF-1 DES is a shortened insulin-like growth factor analogue investigated in growth-factor signalling and IGF-binding protein interactions.</w:t>
      </w:r>
    </w:p>
    <w:p>
      <w:r>
        <w:rPr>
          <w:b/>
        </w:rPr>
        <w:t xml:space="preserve">PROPERTIES </w:t>
      </w:r>
      <w:r>
        <w:t>Type: Growth factor analogue • Key details: Des(1–3)IGF-I; 67 residues</w:t>
      </w:r>
    </w:p>
    <w:p>
      <w:r>
        <w:rPr>
          <w:b/>
        </w:rPr>
        <w:t xml:space="preserve">PREPARATION </w:t>
      </w:r>
      <w:r>
        <w:t>Follow the product-specific laboratory preparation instructions. Confirm diluent compatibility before mixing.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It lacks the first three residues of native IGF-I and differs from IGF-1 LR3. Laboratory activity does not establish muscle-growth benefits.</w:t>
      </w:r>
    </w:p>
    <w:p>
      <w:hyperlink r:id="rId61">
        <w:r>
          <w:rPr>
            <w:color w:val="17616B"/>
          </w:rPr>
          <w:t>RESEARCH OVERVIEW</w:t>
        </w:r>
      </w:hyperlink>
    </w:p>
    <w:p>
      <w:r>
        <w:br w:type="page"/>
      </w:r>
    </w:p>
    <w:p>
      <w:pPr>
        <w:pStyle w:val="Heading1"/>
      </w:pPr>
      <w:r>
        <w:t>51  LL-37</w:t>
      </w:r>
    </w:p>
    <w:p>
      <w:r>
        <w:rPr>
          <w:b/>
        </w:rPr>
        <w:t xml:space="preserve">DESCRIPTION </w:t>
      </w:r>
      <w:r>
        <w:t>LL-37 is a human cathelicidin peptide studied in host defence, microbial interactions and inflammatory signalling.</w:t>
      </w:r>
    </w:p>
    <w:p>
      <w:r>
        <w:rPr>
          <w:b/>
        </w:rPr>
        <w:t xml:space="preserve">PROPERTIES </w:t>
      </w:r>
      <w:r>
        <w:t>Type: Antimicrobial peptide • Key details: Human cathelicidin fragment; 37 residues</w:t>
      </w:r>
    </w:p>
    <w:p>
      <w:r>
        <w:rPr>
          <w:b/>
        </w:rPr>
        <w:t xml:space="preserve">PREPARATION </w:t>
      </w:r>
      <w:r>
        <w:t>Follow the product-specific laboratory preparation instructions. Confirm diluent compatibility before mixing.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Its activity depends on the biological setting. Antimicrobial laboratory findings do not establish an effective treatment for infection in people.</w:t>
      </w:r>
    </w:p>
    <w:p>
      <w:hyperlink r:id="rId62">
        <w:r>
          <w:rPr>
            <w:color w:val="17616B"/>
          </w:rPr>
          <w:t>RESEARCH OVERVIEW</w:t>
        </w:r>
      </w:hyperlink>
    </w:p>
    <w:p>
      <w:pPr>
        <w:pStyle w:val="Heading1"/>
      </w:pPr>
      <w:r>
        <w:t>52  P21</w:t>
      </w:r>
    </w:p>
    <w:p>
      <w:r>
        <w:rPr>
          <w:b/>
        </w:rPr>
        <w:t xml:space="preserve">DESCRIPTION </w:t>
      </w:r>
      <w:r>
        <w:t>P21 is a research-market name often discussed alongside P021, a modified CNTF-derived compound studied in neuroplasticity models.</w:t>
      </w:r>
    </w:p>
    <w:p>
      <w:r>
        <w:rPr>
          <w:b/>
        </w:rPr>
        <w:t xml:space="preserve">PROPERTIES </w:t>
      </w:r>
      <w:r>
        <w:t>Type: Research name requiring identification • Key details: Confirm whether the material matches published P021</w:t>
      </w:r>
    </w:p>
    <w:p>
      <w:r>
        <w:rPr>
          <w:b/>
        </w:rPr>
        <w:t xml:space="preserve">PREPARATION </w:t>
      </w:r>
      <w:r>
        <w:t>Confirm the material’s identity and formulation, then follow its product-specific laboratory preparation instructions.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Published P021 is different from the p21 cell-cycle protein. Structural matching is necessary before applying P021 research to a supplied product.</w:t>
      </w:r>
    </w:p>
    <w:p>
      <w:hyperlink r:id="rId63">
        <w:r>
          <w:rPr>
            <w:color w:val="17616B"/>
          </w:rPr>
          <w:t>RESEARCH OVERVIEW</w:t>
        </w:r>
      </w:hyperlink>
    </w:p>
    <w:p>
      <w:r>
        <w:br w:type="page"/>
      </w:r>
    </w:p>
    <w:p>
      <w:pPr>
        <w:pStyle w:val="Heading1"/>
      </w:pPr>
      <w:r>
        <w:t>53  PE-22-28</w:t>
      </w:r>
    </w:p>
    <w:p>
      <w:r>
        <w:rPr>
          <w:b/>
        </w:rPr>
        <w:t xml:space="preserve">DESCRIPTION </w:t>
      </w:r>
      <w:r>
        <w:t>PE-22-28 is a short spadin-related peptide studied in TREK-1 potassium channel activity and preclinical neurological models.</w:t>
      </w:r>
    </w:p>
    <w:p>
      <w:r>
        <w:rPr>
          <w:b/>
        </w:rPr>
        <w:t xml:space="preserve">PROPERTIES </w:t>
      </w:r>
      <w:r>
        <w:t>Type: Short peptide • Key details: Spadin-related fragment; seven residues</w:t>
      </w:r>
    </w:p>
    <w:p>
      <w:r>
        <w:rPr>
          <w:b/>
        </w:rPr>
        <w:t xml:space="preserve">PREPARATION </w:t>
      </w:r>
      <w:r>
        <w:t>Follow the product-specific laboratory preparation instructions. Confirm diluent compatibility before mixing.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The numbers describe a residue range. Results from animal experiments or modified analogues do not establish human mood benefits.</w:t>
      </w:r>
    </w:p>
    <w:p>
      <w:hyperlink r:id="rId64">
        <w:r>
          <w:rPr>
            <w:color w:val="17616B"/>
          </w:rPr>
          <w:t>RESEARCH OVERVIEW</w:t>
        </w:r>
      </w:hyperlink>
    </w:p>
    <w:p>
      <w:pPr>
        <w:pStyle w:val="Heading1"/>
      </w:pPr>
      <w:r>
        <w:t>54  Thymalin</w:t>
      </w:r>
    </w:p>
    <w:p>
      <w:r>
        <w:rPr>
          <w:b/>
        </w:rPr>
        <w:t xml:space="preserve">DESCRIPTION </w:t>
      </w:r>
      <w:r>
        <w:t>Thymalin is a thymus-derived peptide preparation studied in immune-cell responses and clinical immune markers.</w:t>
      </w:r>
    </w:p>
    <w:p>
      <w:r>
        <w:rPr>
          <w:b/>
        </w:rPr>
        <w:t xml:space="preserve">PROPERTIES </w:t>
      </w:r>
      <w:r>
        <w:t>Type: Thymus-derived peptide complex • Key details: Mixture composition requires characterisation</w:t>
      </w:r>
    </w:p>
    <w:p>
      <w:r>
        <w:rPr>
          <w:b/>
        </w:rPr>
        <w:t xml:space="preserve">PREPARATION </w:t>
      </w:r>
      <w:r>
        <w:t>Confirm the material’s identity and formulation, then follow its product-specific laboratory preparation instructions.</w:t>
      </w:r>
    </w:p>
    <w:p>
      <w:r>
        <w:rPr>
          <w:b/>
        </w:rPr>
        <w:t xml:space="preserve">Storage: </w:t>
      </w:r>
      <w:r>
        <w:t>Follow the product label for storage before and after preparation.</w:t>
      </w:r>
    </w:p>
    <w:p>
      <w:r>
        <w:rPr>
          <w:b/>
          <w:sz w:val="18"/>
        </w:rPr>
        <w:t xml:space="preserve">Proposed storage — verification required: </w:t>
      </w:r>
      <w:r>
        <w:rPr>
          <w:sz w:val="18"/>
        </w:rPr>
        <w:t>Store in a cool, dry place while in lyophilised (freeze-dried) powder form. After mixing, refrigerate at 2–8°C.</w:t>
      </w:r>
    </w:p>
    <w:p>
      <w:r>
        <w:rPr>
          <w:b/>
        </w:rPr>
        <w:t xml:space="preserve">OVERVIEW </w:t>
      </w:r>
      <w:r>
        <w:t>It is a mixture rather than one universally defined sequence. It differs from thymosin alpha-1, and evidence is preparation-specific.</w:t>
      </w:r>
    </w:p>
    <w:p>
      <w:hyperlink r:id="rId65">
        <w:r>
          <w:rPr>
            <w:color w:val="17616B"/>
          </w:rPr>
          <w:t>RESEARCH OVERVIEW</w:t>
        </w:r>
      </w:hyperlink>
    </w:p>
    <w:p>
      <w:r>
        <w:br w:type="page"/>
      </w:r>
    </w:p>
    <w:p>
      <w:pPr>
        <w:pStyle w:val="Heading1"/>
      </w:pPr>
      <w:r>
        <w:t>55  BAC Water 0.9% Benzyl Alcohol</w:t>
      </w:r>
    </w:p>
    <w:p>
      <w:r>
        <w:rPr>
          <w:b/>
        </w:rPr>
        <w:t xml:space="preserve">DESCRIPTION </w:t>
      </w:r>
      <w:r>
        <w:t>BAC water is water containing benzyl alcohol, a preservative used in certain bacteriostatic formulations. The stated concentration is 0.9%.</w:t>
      </w:r>
    </w:p>
    <w:p>
      <w:r>
        <w:rPr>
          <w:b/>
        </w:rPr>
        <w:t xml:space="preserve">PROPERTIES </w:t>
      </w:r>
      <w:r>
        <w:t>Type: Aqueous solution • Key details: Stated benzyl alcohol concentration 0.9%</w:t>
      </w:r>
    </w:p>
    <w:p>
      <w:r>
        <w:rPr>
          <w:b/>
        </w:rPr>
        <w:t xml:space="preserve">PREPARATION </w:t>
      </w:r>
      <w:r>
        <w:t>Supplied as a liquid. No powder reconstitution is required. Follow the product-specific handling and compatibility instructions.</w:t>
      </w:r>
    </w:p>
    <w:p>
      <w:r>
        <w:rPr>
          <w:b/>
        </w:rPr>
        <w:t xml:space="preserve">Storage: </w:t>
      </w:r>
      <w:r>
        <w:t>Store in the original closed container according to the product label. Follow labelled conditions after opening.</w:t>
      </w:r>
    </w:p>
    <w:p>
      <w:r>
        <w:rPr>
          <w:b/>
        </w:rPr>
        <w:t xml:space="preserve">OVERVIEW </w:t>
      </w:r>
      <w:r>
        <w:t>Preservative content does not establish sterility or compatibility with every material. Check the concentration basis and the actual product specification.</w:t>
      </w:r>
    </w:p>
    <w:p>
      <w:hyperlink r:id="rId66">
        <w:r>
          <w:rPr>
            <w:color w:val="17616B"/>
          </w:rPr>
          <w:t>RESEARCH OVERVIEW</w:t>
        </w:r>
      </w:hyperlink>
    </w:p>
    <w:p>
      <w:pPr>
        <w:pStyle w:val="Heading1"/>
      </w:pPr>
      <w:r>
        <w:t>56  Acetic Water 0.6% Acetic Acid</w:t>
      </w:r>
    </w:p>
    <w:p>
      <w:r>
        <w:rPr>
          <w:b/>
        </w:rPr>
        <w:t xml:space="preserve">DESCRIPTION </w:t>
      </w:r>
      <w:r>
        <w:t>Acetic water is an aqueous acetic acid solution with a stated concentration of 0.6%, used in defined laboratory formulation contexts.</w:t>
      </w:r>
    </w:p>
    <w:p>
      <w:r>
        <w:rPr>
          <w:b/>
        </w:rPr>
        <w:t xml:space="preserve">PROPERTIES </w:t>
      </w:r>
      <w:r>
        <w:t>Type: Aqueous solution • Key details: Stated acetic acid concentration 0.6%</w:t>
      </w:r>
    </w:p>
    <w:p>
      <w:r>
        <w:rPr>
          <w:b/>
        </w:rPr>
        <w:t xml:space="preserve">PREPARATION </w:t>
      </w:r>
      <w:r>
        <w:t>Supplied as a liquid. No powder reconstitution is required. Follow the product-specific handling and compatibility instructions.</w:t>
      </w:r>
    </w:p>
    <w:p>
      <w:r>
        <w:rPr>
          <w:b/>
        </w:rPr>
        <w:t xml:space="preserve">Storage: </w:t>
      </w:r>
      <w:r>
        <w:t>Store in the original closed container according to the product label. Follow labelled conditions after opening.</w:t>
      </w:r>
    </w:p>
    <w:p>
      <w:r>
        <w:rPr>
          <w:b/>
        </w:rPr>
        <w:t xml:space="preserve">OVERVIEW </w:t>
      </w:r>
      <w:r>
        <w:t>Concentration and pH are different specifications. Acidity does not establish sterility, stability or suitability for injection.</w:t>
      </w:r>
    </w:p>
    <w:p>
      <w:hyperlink r:id="rId67">
        <w:r>
          <w:rPr>
            <w:color w:val="17616B"/>
          </w:rPr>
          <w:t>RESEARCH OVERVIEW</w:t>
        </w:r>
      </w:hyperlink>
    </w:p>
    <w:p>
      <w:r>
        <w:br w:type="page"/>
      </w:r>
    </w:p>
    <w:p>
      <w:pPr>
        <w:pStyle w:val="Heading1"/>
      </w:pPr>
      <w:r>
        <w:t>57  1mL 31G 6mm Syringes</w:t>
      </w:r>
    </w:p>
    <w:p>
      <w:r>
        <w:rPr>
          <w:b/>
        </w:rPr>
        <w:t xml:space="preserve">DESCRIPTION </w:t>
      </w:r>
      <w:r>
        <w:t>These syringes are specified by a 1mL barrel capacity, 31G needle gauge and 6mm needle length.</w:t>
      </w:r>
    </w:p>
    <w:p>
      <w:r>
        <w:rPr>
          <w:b/>
        </w:rPr>
        <w:t xml:space="preserve">PROPERTIES </w:t>
      </w:r>
      <w:r>
        <w:t>Type: Syringe and needle • Key details: Capacity 1mL; gauge 31G; needle length 6mm</w:t>
      </w:r>
    </w:p>
    <w:p>
      <w:r>
        <w:rPr>
          <w:b/>
        </w:rPr>
        <w:t xml:space="preserve">PREPARATION </w:t>
      </w:r>
      <w:r>
        <w:t>Check packaging and device instructions before use. Dispose of used single-use syringes in a suitable sharps container.</w:t>
      </w:r>
    </w:p>
    <w:p>
      <w:r>
        <w:rPr>
          <w:b/>
        </w:rPr>
        <w:t xml:space="preserve">Storage: </w:t>
      </w:r>
      <w:r>
        <w:t>Keep in a cool, dry place in the original protective packaging. Refrigeration after use does not apply.</w:t>
      </w:r>
    </w:p>
    <w:p>
      <w:r>
        <w:rPr>
          <w:b/>
        </w:rPr>
        <w:t xml:space="preserve">OVERVIEW </w:t>
      </w:r>
      <w:r>
        <w:t>Capacity, gauge and length describe different features. Confirm the actual graduation scale, attachment and packaging for the supplied model.</w:t>
      </w:r>
    </w:p>
    <w:p>
      <w:hyperlink r:id="rId68">
        <w:r>
          <w:rPr>
            <w:color w:val="17616B"/>
          </w:rPr>
          <w:t>RESEARCH OVERVIEW</w:t>
        </w:r>
      </w:hyperlink>
    </w:p>
    <w:p>
      <w:pPr>
        <w:pStyle w:val="Heading1"/>
      </w:pPr>
      <w:r>
        <w:t>58  Sharps Container</w:t>
      </w:r>
    </w:p>
    <w:p>
      <w:r>
        <w:rPr>
          <w:b/>
        </w:rPr>
        <w:t xml:space="preserve">DESCRIPTION </w:t>
      </w:r>
      <w:r>
        <w:t>A sharps container provides a dedicated enclosure for discarded needles, syringes and other accepted sharp items.</w:t>
      </w:r>
    </w:p>
    <w:p>
      <w:r>
        <w:rPr>
          <w:b/>
        </w:rPr>
        <w:t xml:space="preserve">PROPERTIES </w:t>
      </w:r>
      <w:r>
        <w:t>Type: Sharps disposal accessory • Key details: Capacity and closure depend on the supplied model</w:t>
      </w:r>
    </w:p>
    <w:p>
      <w:r>
        <w:rPr>
          <w:b/>
        </w:rPr>
        <w:t xml:space="preserve">PREPARATION </w:t>
      </w:r>
      <w:r>
        <w:t>Assemble according to the instructions. Do not exceed the fill line. Close securely for collection by an appropriate disposal service.</w:t>
      </w:r>
    </w:p>
    <w:p>
      <w:r>
        <w:rPr>
          <w:b/>
        </w:rPr>
        <w:t xml:space="preserve">Storage: </w:t>
      </w:r>
      <w:r>
        <w:t>Keep upright in a secure, dry location away from children and pets. Refrigeration does not apply.</w:t>
      </w:r>
    </w:p>
    <w:p>
      <w:r>
        <w:rPr>
          <w:b/>
        </w:rPr>
        <w:t xml:space="preserve">OVERVIEW </w:t>
      </w:r>
      <w:r>
        <w:t>Correct filling, secure closure and an appropriate disposal service work together to reduce accidental contact with used sharps.</w:t>
      </w:r>
    </w:p>
    <w:p>
      <w:hyperlink r:id="rId69">
        <w:r>
          <w:rPr>
            <w:color w:val="17616B"/>
          </w:rPr>
          <w:t>RESEARCH OVERVIEW</w:t>
        </w:r>
      </w:hyperlink>
    </w:p>
    <w:p>
      <w:r>
        <w:br w:type="page"/>
      </w:r>
    </w:p>
    <w:p>
      <w:pPr>
        <w:pStyle w:val="Heading1"/>
      </w:pPr>
      <w:r>
        <w:t>59  Glass Nasal Spray</w:t>
      </w:r>
    </w:p>
    <w:p>
      <w:r>
        <w:rPr>
          <w:b/>
        </w:rPr>
        <w:t xml:space="preserve">DESCRIPTION </w:t>
      </w:r>
      <w:r>
        <w:t>A glass nasal spray bottle combines a glass reservoir with a pump and nasal actuator for compatible liquid formulations.</w:t>
      </w:r>
    </w:p>
    <w:p>
      <w:r>
        <w:rPr>
          <w:b/>
        </w:rPr>
        <w:t xml:space="preserve">PROPERTIES </w:t>
      </w:r>
      <w:r>
        <w:t>Type: Glass bottle and spray pump • Key details: Capacity and pump output depend on the model</w:t>
      </w:r>
    </w:p>
    <w:p>
      <w:r>
        <w:rPr>
          <w:b/>
        </w:rPr>
        <w:t xml:space="preserve">PREPARATION </w:t>
      </w:r>
      <w:r>
        <w:t>Follow the pump instructions and confirm formulation compatibility. Do not assume a fixed volume per spray.</w:t>
      </w:r>
    </w:p>
    <w:p>
      <w:r>
        <w:rPr>
          <w:b/>
        </w:rPr>
        <w:t xml:space="preserve">Storage: </w:t>
      </w:r>
      <w:r>
        <w:t>Keep the empty bottle clean, dry and protected from damage. Once filled, follow the formulation’s verified storage instructions.</w:t>
      </w:r>
    </w:p>
    <w:p>
      <w:r>
        <w:rPr>
          <w:b/>
        </w:rPr>
        <w:t xml:space="preserve">OVERVIEW </w:t>
      </w:r>
      <w:r>
        <w:t>Bottle capacity does not determine output per spray. The complete pump assembly and formulation require compatibility and performance assessment.</w:t>
      </w:r>
    </w:p>
    <w:p>
      <w:hyperlink r:id="rId70">
        <w:r>
          <w:rPr>
            <w:color w:val="17616B"/>
          </w:rPr>
          <w:t>RESEARCH OVERVIEW</w:t>
        </w:r>
      </w:hyperlink>
    </w:p>
    <w:sectPr w:rsidR="00FC693F" w:rsidRPr="0006063C" w:rsidSect="00034616">
      <w:footerReference w:type="default" r:id="rId71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PEPLAB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5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elopers.google.com/search/docs/appearance/ai-features" TargetMode="External"/><Relationship Id="rId10" Type="http://schemas.openxmlformats.org/officeDocument/2006/relationships/hyperlink" Target="https://www.sigmaaldrich.com/content/dam/sigma-aldrich/docs/Sigma/General_Information/peptide_handling_guide.pdf" TargetMode="External"/><Relationship Id="rId11" Type="http://schemas.openxmlformats.org/officeDocument/2006/relationships/hyperlink" Target="https://dailymed.nlm.nih.gov/dailymed/drugInfo.cfm?setid=3d783378-b02d-4f19-99dd-0fc91a042224" TargetMode="External"/><Relationship Id="rId12" Type="http://schemas.openxmlformats.org/officeDocument/2006/relationships/hyperlink" Target="https://peplab.com.au/research/compounds/retatrutide" TargetMode="External"/><Relationship Id="rId13" Type="http://schemas.openxmlformats.org/officeDocument/2006/relationships/hyperlink" Target="https://peplab.com.au/research/compounds/ghk-cu" TargetMode="External"/><Relationship Id="rId14" Type="http://schemas.openxmlformats.org/officeDocument/2006/relationships/hyperlink" Target="https://peplab.com.au/research/compounds/tirzepatide" TargetMode="External"/><Relationship Id="rId15" Type="http://schemas.openxmlformats.org/officeDocument/2006/relationships/hyperlink" Target="https://peplab.com.au/research/compounds/tesamorelin" TargetMode="External"/><Relationship Id="rId16" Type="http://schemas.openxmlformats.org/officeDocument/2006/relationships/hyperlink" Target="https://peplab.com.au/research/compounds/bpc-157-tb-500" TargetMode="External"/><Relationship Id="rId17" Type="http://schemas.openxmlformats.org/officeDocument/2006/relationships/hyperlink" Target="https://peplab.com.au/research/compounds/mots-c" TargetMode="External"/><Relationship Id="rId18" Type="http://schemas.openxmlformats.org/officeDocument/2006/relationships/hyperlink" Target="https://peplab.com.au/research/compounds/cjc-1295-no-dac-ipamorelin" TargetMode="External"/><Relationship Id="rId19" Type="http://schemas.openxmlformats.org/officeDocument/2006/relationships/hyperlink" Target="https://peplab.com.au/research/compounds/klow" TargetMode="External"/><Relationship Id="rId20" Type="http://schemas.openxmlformats.org/officeDocument/2006/relationships/hyperlink" Target="https://peplab.com.au/research/compounds/melanotan-2" TargetMode="External"/><Relationship Id="rId21" Type="http://schemas.openxmlformats.org/officeDocument/2006/relationships/hyperlink" Target="https://peplab.com.au/research/compounds/nad-plus" TargetMode="External"/><Relationship Id="rId22" Type="http://schemas.openxmlformats.org/officeDocument/2006/relationships/hyperlink" Target="https://peplab.com.au/research/compounds/bpc-157" TargetMode="External"/><Relationship Id="rId23" Type="http://schemas.openxmlformats.org/officeDocument/2006/relationships/hyperlink" Target="https://peplab.com.au/research/compounds/glow" TargetMode="External"/><Relationship Id="rId24" Type="http://schemas.openxmlformats.org/officeDocument/2006/relationships/hyperlink" Target="https://peplab.com.au/research/compounds/pt-141" TargetMode="External"/><Relationship Id="rId25" Type="http://schemas.openxmlformats.org/officeDocument/2006/relationships/hyperlink" Target="https://peplab.com.au/research/compounds/kpv" TargetMode="External"/><Relationship Id="rId26" Type="http://schemas.openxmlformats.org/officeDocument/2006/relationships/hyperlink" Target="https://peplab.com.au/research/compounds/ipamorelin" TargetMode="External"/><Relationship Id="rId27" Type="http://schemas.openxmlformats.org/officeDocument/2006/relationships/hyperlink" Target="https://peplab.com.au/research/compounds/ss-31" TargetMode="External"/><Relationship Id="rId28" Type="http://schemas.openxmlformats.org/officeDocument/2006/relationships/hyperlink" Target="https://peplab.com.au/research/compounds/hcg" TargetMode="External"/><Relationship Id="rId29" Type="http://schemas.openxmlformats.org/officeDocument/2006/relationships/hyperlink" Target="https://peplab.com.au/research/compounds/semax" TargetMode="External"/><Relationship Id="rId30" Type="http://schemas.openxmlformats.org/officeDocument/2006/relationships/hyperlink" Target="https://peplab.com.au/research/compounds/slu-pp-332" TargetMode="External"/><Relationship Id="rId31" Type="http://schemas.openxmlformats.org/officeDocument/2006/relationships/hyperlink" Target="https://peplab.com.au/research/compounds/glutathione" TargetMode="External"/><Relationship Id="rId32" Type="http://schemas.openxmlformats.org/officeDocument/2006/relationships/hyperlink" Target="https://peplab.com.au/research/compounds/igf-1-lr3" TargetMode="External"/><Relationship Id="rId33" Type="http://schemas.openxmlformats.org/officeDocument/2006/relationships/hyperlink" Target="https://peplab.com.au/research/compounds/semaglutide" TargetMode="External"/><Relationship Id="rId34" Type="http://schemas.openxmlformats.org/officeDocument/2006/relationships/hyperlink" Target="https://peplab.com.au/research/compounds/semax-selank" TargetMode="External"/><Relationship Id="rId35" Type="http://schemas.openxmlformats.org/officeDocument/2006/relationships/hyperlink" Target="https://peplab.com.au/research/compounds/tb-500" TargetMode="External"/><Relationship Id="rId36" Type="http://schemas.openxmlformats.org/officeDocument/2006/relationships/hyperlink" Target="https://peplab.com.au/research/compounds/snap-8" TargetMode="External"/><Relationship Id="rId37" Type="http://schemas.openxmlformats.org/officeDocument/2006/relationships/hyperlink" Target="https://peplab.com.au/research/compounds/ahk-cu" TargetMode="External"/><Relationship Id="rId38" Type="http://schemas.openxmlformats.org/officeDocument/2006/relationships/hyperlink" Target="https://peplab.com.au/research/compounds/dsip" TargetMode="External"/><Relationship Id="rId39" Type="http://schemas.openxmlformats.org/officeDocument/2006/relationships/hyperlink" Target="https://peplab.com.au/research/compounds/kisspeptin-10" TargetMode="External"/><Relationship Id="rId40" Type="http://schemas.openxmlformats.org/officeDocument/2006/relationships/hyperlink" Target="https://peplab.com.au/research/compounds/selank" TargetMode="External"/><Relationship Id="rId41" Type="http://schemas.openxmlformats.org/officeDocument/2006/relationships/hyperlink" Target="https://peplab.com.au/research/compounds/cjc-1295-dac" TargetMode="External"/><Relationship Id="rId42" Type="http://schemas.openxmlformats.org/officeDocument/2006/relationships/hyperlink" Target="https://peplab.com.au/research/compounds/cjc-1295-no-dac" TargetMode="External"/><Relationship Id="rId43" Type="http://schemas.openxmlformats.org/officeDocument/2006/relationships/hyperlink" Target="https://peplab.com.au/research/compounds/cagrilintide" TargetMode="External"/><Relationship Id="rId44" Type="http://schemas.openxmlformats.org/officeDocument/2006/relationships/hyperlink" Target="https://peplab.com.au/research/compounds/ara-290" TargetMode="External"/><Relationship Id="rId45" Type="http://schemas.openxmlformats.org/officeDocument/2006/relationships/hyperlink" Target="https://peplab.com.au/research/compounds/epitalon" TargetMode="External"/><Relationship Id="rId46" Type="http://schemas.openxmlformats.org/officeDocument/2006/relationships/hyperlink" Target="https://peplab.com.au/research/compounds/thymosin-alpha-1" TargetMode="External"/><Relationship Id="rId47" Type="http://schemas.openxmlformats.org/officeDocument/2006/relationships/hyperlink" Target="https://peplab.com.au/research/compounds/aod-9604" TargetMode="External"/><Relationship Id="rId48" Type="http://schemas.openxmlformats.org/officeDocument/2006/relationships/hyperlink" Target="https://peplab.com.au/research/compounds/5-amino-1mq" TargetMode="External"/><Relationship Id="rId49" Type="http://schemas.openxmlformats.org/officeDocument/2006/relationships/hyperlink" Target="https://peplab.com.au/research/compounds/adamax" TargetMode="External"/><Relationship Id="rId50" Type="http://schemas.openxmlformats.org/officeDocument/2006/relationships/hyperlink" Target="https://peplab.com.au/research/compounds/foxo4-dri" TargetMode="External"/><Relationship Id="rId51" Type="http://schemas.openxmlformats.org/officeDocument/2006/relationships/hyperlink" Target="https://peplab.com.au/research/compounds/dihexa" TargetMode="External"/><Relationship Id="rId52" Type="http://schemas.openxmlformats.org/officeDocument/2006/relationships/hyperlink" Target="https://peplab.com.au/research/compounds/sermorelin" TargetMode="External"/><Relationship Id="rId53" Type="http://schemas.openxmlformats.org/officeDocument/2006/relationships/hyperlink" Target="https://peplab.com.au/research/compounds/ghrp-2" TargetMode="External"/><Relationship Id="rId54" Type="http://schemas.openxmlformats.org/officeDocument/2006/relationships/hyperlink" Target="https://peplab.com.au/research/compounds/ghrp-6" TargetMode="External"/><Relationship Id="rId55" Type="http://schemas.openxmlformats.org/officeDocument/2006/relationships/hyperlink" Target="https://peplab.com.au/research/compounds/melatonin" TargetMode="External"/><Relationship Id="rId56" Type="http://schemas.openxmlformats.org/officeDocument/2006/relationships/hyperlink" Target="https://peplab.com.au/research/compounds/pnc-27" TargetMode="External"/><Relationship Id="rId57" Type="http://schemas.openxmlformats.org/officeDocument/2006/relationships/hyperlink" Target="https://peplab.com.au/research/compounds/vip" TargetMode="External"/><Relationship Id="rId58" Type="http://schemas.openxmlformats.org/officeDocument/2006/relationships/hyperlink" Target="https://peplab.com.au/research/compounds/adalank" TargetMode="External"/><Relationship Id="rId59" Type="http://schemas.openxmlformats.org/officeDocument/2006/relationships/hyperlink" Target="https://peplab.com.au/research/compounds/cartalax" TargetMode="External"/><Relationship Id="rId60" Type="http://schemas.openxmlformats.org/officeDocument/2006/relationships/hyperlink" Target="https://peplab.com.au/research/compounds/cerebrolysin" TargetMode="External"/><Relationship Id="rId61" Type="http://schemas.openxmlformats.org/officeDocument/2006/relationships/hyperlink" Target="https://peplab.com.au/research/compounds/igf-1-des" TargetMode="External"/><Relationship Id="rId62" Type="http://schemas.openxmlformats.org/officeDocument/2006/relationships/hyperlink" Target="https://peplab.com.au/research/compounds/ll-37" TargetMode="External"/><Relationship Id="rId63" Type="http://schemas.openxmlformats.org/officeDocument/2006/relationships/hyperlink" Target="https://peplab.com.au/research/compounds/p21" TargetMode="External"/><Relationship Id="rId64" Type="http://schemas.openxmlformats.org/officeDocument/2006/relationships/hyperlink" Target="https://peplab.com.au/research/compounds/pe-22-28" TargetMode="External"/><Relationship Id="rId65" Type="http://schemas.openxmlformats.org/officeDocument/2006/relationships/hyperlink" Target="https://peplab.com.au/research/compounds/thymalin" TargetMode="External"/><Relationship Id="rId66" Type="http://schemas.openxmlformats.org/officeDocument/2006/relationships/hyperlink" Target="https://peplab.com.au/research/accessories/bac-water" TargetMode="External"/><Relationship Id="rId67" Type="http://schemas.openxmlformats.org/officeDocument/2006/relationships/hyperlink" Target="https://peplab.com.au/research/accessories/acetic-water" TargetMode="External"/><Relationship Id="rId68" Type="http://schemas.openxmlformats.org/officeDocument/2006/relationships/hyperlink" Target="https://peplab.com.au/research/accessories/1ml-31g-6mm-syringes" TargetMode="External"/><Relationship Id="rId69" Type="http://schemas.openxmlformats.org/officeDocument/2006/relationships/hyperlink" Target="https://peplab.com.au/research/accessories/sharps-container" TargetMode="External"/><Relationship Id="rId70" Type="http://schemas.openxmlformats.org/officeDocument/2006/relationships/hyperlink" Target="https://peplab.com.au/research/accessories/glass-nasal-spray" TargetMode="External"/><Relationship Id="rId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PEPLAB short product copy</dc:title>
  <dc:subject>59 product descriptions and research overview links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