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spacing w:after="180"/>
        <w:jc w:val="center"/>
      </w:pPr>
      <w:r>
        <w:rPr>
          <w:rFonts w:ascii="Calibri" w:cs="Calibri" w:eastAsia="Calibri" w:hAnsi="Calibri"/>
          <w:b/>
          <w:bCs/>
          <w:i w:val="false"/>
          <w:iCs w:val="false"/>
          <w:color w:val="0F3D5C"/>
          <w:sz w:val="42"/>
          <w:szCs w:val="42"/>
        </w:rPr>
        <w:t xml:space="preserve">MEMORIA DE CÁLCULO</w:t>
      </w:r>
    </w:p>
    <w:p>
      <w:pPr>
        <w:spacing w:after="90"/>
        <w:jc w:val="center"/>
      </w:pPr>
      <w:r>
        <w:rPr>
          <w:rFonts w:ascii="Calibri" w:cs="Calibri" w:eastAsia="Calibri" w:hAnsi="Calibri"/>
          <w:b/>
          <w:bCs/>
          <w:i w:val="false"/>
          <w:iCs w:val="false"/>
          <w:color w:val="0F3D5C"/>
          <w:sz w:val="27"/>
          <w:szCs w:val="27"/>
        </w:rPr>
        <w:t xml:space="preserve">Zapatas Combinadas Rígidas de Hormigón Armado</w:t>
      </w:r>
    </w:p>
    <w:p>
      <w:pPr>
        <w:spacing w:after="520"/>
        <w:jc w:val="center"/>
      </w:pPr>
      <w:r>
        <w:rPr>
          <w:rFonts w:ascii="Calibri" w:cs="Calibri" w:eastAsia="Calibri" w:hAnsi="Calibri"/>
          <w:b w:val="false"/>
          <w:bCs w:val="false"/>
          <w:i/>
          <w:iCs/>
          <w:color w:val="54606B"/>
          <w:sz w:val="23"/>
          <w:szCs w:val="23"/>
        </w:rPr>
        <w:t xml:space="preserve">Tensiones sobre el terreno y condición de rigidez</w:t>
      </w:r>
    </w:p>
    <w:p>
      <w:pPr>
        <w:pBdr>
          <w:top w:val="single" w:color="0F3D5C" w:sz="8"/>
        </w:pBdr>
        <w:spacing w:after="520"/>
      </w:pPr>
    </w:p>
    <w:p>
      <w:pPr>
        <w:spacing w:after="150"/>
        <w:jc w:val="center"/>
      </w:pPr>
      <w:r>
        <w:rPr>
          <w:rFonts w:ascii="Calibri" w:cs="Calibri" w:eastAsia="Calibri" w:hAnsi="Calibri"/>
          <w:b/>
          <w:bCs/>
          <w:i w:val="false"/>
          <w:iCs w:val="false"/>
          <w:color w:val="1A1A1A"/>
          <w:sz w:val="21"/>
          <w:szCs w:val="21"/>
        </w:rPr>
        <w:t xml:space="preserve">Tipología: </w:t>
      </w:r>
      <w:r>
        <w:rPr>
          <w:rFonts w:ascii="Calibri" w:cs="Calibri" w:eastAsia="Calibri" w:hAnsi="Calibri"/>
          <w:b w:val="false"/>
          <w:bCs w:val="false"/>
          <w:i w:val="false"/>
          <w:iCs w:val="false"/>
          <w:color w:val="1A1A1A"/>
          <w:sz w:val="21"/>
          <w:szCs w:val="21"/>
        </w:rPr>
        <w:t xml:space="preserve">zapata combinada rectangular bajo dos pilares alineados</w:t>
      </w:r>
    </w:p>
    <w:p>
      <w:pPr>
        <w:spacing w:after="150"/>
        <w:jc w:val="center"/>
      </w:pPr>
      <w:r>
        <w:rPr>
          <w:rFonts w:ascii="Calibri" w:cs="Calibri" w:eastAsia="Calibri" w:hAnsi="Calibri"/>
          <w:b/>
          <w:bCs/>
          <w:i w:val="false"/>
          <w:iCs w:val="false"/>
          <w:color w:val="1A1A1A"/>
          <w:sz w:val="21"/>
          <w:szCs w:val="21"/>
        </w:rPr>
        <w:t xml:space="preserve">Alcance: </w:t>
      </w:r>
      <w:r>
        <w:rPr>
          <w:rFonts w:ascii="Calibri" w:cs="Calibri" w:eastAsia="Calibri" w:hAnsi="Calibri"/>
          <w:b w:val="false"/>
          <w:bCs w:val="false"/>
          <w:i w:val="false"/>
          <w:iCs w:val="false"/>
          <w:color w:val="1A1A1A"/>
          <w:sz w:val="21"/>
          <w:szCs w:val="21"/>
        </w:rPr>
        <w:t xml:space="preserve">verificación geotécnica en servicio y clasificación de rigidez</w:t>
      </w:r>
    </w:p>
    <w:p>
      <w:pPr>
        <w:spacing w:after="700"/>
        <w:jc w:val="center"/>
      </w:pPr>
      <w:r>
        <w:rPr>
          <w:rFonts w:ascii="Calibri" w:cs="Calibri" w:eastAsia="Calibri" w:hAnsi="Calibri"/>
          <w:b/>
          <w:bCs/>
          <w:i w:val="false"/>
          <w:iCs w:val="false"/>
          <w:color w:val="1A1A1A"/>
          <w:sz w:val="21"/>
          <w:szCs w:val="21"/>
        </w:rPr>
        <w:t xml:space="preserve">Fecha de redacción: </w:t>
      </w:r>
      <w:r>
        <w:rPr>
          <w:rFonts w:ascii="Calibri" w:cs="Calibri" w:eastAsia="Calibri" w:hAnsi="Calibri"/>
          <w:b w:val="false"/>
          <w:bCs w:val="false"/>
          <w:i w:val="false"/>
          <w:iCs w:val="false"/>
          <w:color w:val="1A1A1A"/>
          <w:sz w:val="21"/>
          <w:szCs w:val="21"/>
        </w:rPr>
        <w:t xml:space="preserve">3 de agosto de 2026</w:t>
      </w:r>
    </w:p>
    <w:p>
      <w:pPr>
        <w:spacing w:after="40"/>
        <w:jc w:val="center"/>
      </w:pPr>
      <w:r>
        <w:rPr>
          <w:rFonts w:ascii="Calibri" w:cs="Calibri" w:eastAsia="Calibri" w:hAnsi="Calibri"/>
          <w:b w:val="false"/>
          <w:bCs w:val="false"/>
          <w:i/>
          <w:iCs/>
          <w:color w:val="54606B"/>
          <w:sz w:val="19"/>
          <w:szCs w:val="19"/>
        </w:rPr>
        <w:t xml:space="preserve">El dimensionamiento de armaduras, el punzonamiento y el cortante</w:t>
      </w:r>
    </w:p>
    <w:p>
      <w:pPr>
        <w:spacing w:after="40"/>
        <w:jc w:val="center"/>
      </w:pPr>
      <w:r>
        <w:rPr>
          <w:rFonts w:ascii="Calibri" w:cs="Calibri" w:eastAsia="Calibri" w:hAnsi="Calibri"/>
          <w:b w:val="false"/>
          <w:bCs w:val="false"/>
          <w:i/>
          <w:iCs/>
          <w:color w:val="54606B"/>
          <w:sz w:val="19"/>
          <w:szCs w:val="19"/>
        </w:rPr>
        <w:t xml:space="preserve">quedan fuera del alcance de este documento.</w:t>
      </w:r>
    </w:p>
    <w:p>
      <w:r>
        <w:br w:type="page"/>
      </w:r>
    </w:p>
    <w:p>
      <w:pPr>
        <w:pBdr>
          <w:bottom w:val="single" w:color="0F3D5C" w:sz="8" w:space="5"/>
        </w:pBdr>
        <w:spacing w:after="220"/>
      </w:pPr>
      <w:r>
        <w:rPr>
          <w:rFonts w:ascii="Calibri" w:cs="Calibri" w:eastAsia="Calibri" w:hAnsi="Calibri"/>
          <w:b/>
          <w:bCs/>
          <w:i w:val="false"/>
          <w:iCs w:val="false"/>
          <w:color w:val="0F3D5C"/>
          <w:sz w:val="28"/>
          <w:szCs w:val="28"/>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F3D5C" w:sz="8" w:space="5"/>
        </w:pBdr>
        <w:spacing w:after="180" w:before="380"/>
      </w:pPr>
      <w:r>
        <w:rPr>
          <w:rFonts w:ascii="Calibri" w:cs="Calibri" w:eastAsia="Calibri" w:hAnsi="Calibri"/>
          <w:b/>
          <w:bCs/>
          <w:i w:val="false"/>
          <w:iCs w:val="false"/>
          <w:color w:val="0F3D5C"/>
          <w:sz w:val="30"/>
          <w:szCs w:val="30"/>
        </w:rPr>
        <w:t xml:space="preserve">1. Objeto y alcance</w:t>
      </w:r>
    </w:p>
    <w:p>
      <w:pPr>
        <w:spacing w:after="140" w:before="0" w:line="264"/>
        <w:jc w:val="both"/>
      </w:pPr>
      <w:r>
        <w:rPr>
          <w:rFonts w:ascii="Calibri" w:cs="Calibri" w:eastAsia="Calibri" w:hAnsi="Calibri"/>
          <w:b w:val="false"/>
          <w:bCs w:val="false"/>
          <w:i w:val="false"/>
          <w:iCs w:val="false"/>
          <w:color w:val="1A1A1A"/>
          <w:sz w:val="21"/>
          <w:szCs w:val="21"/>
        </w:rPr>
        <w:t xml:space="preserve">Esta memoria recoge las bases de cálculo, hipótesis y justificación normativa del procedimiento de verificación de la interacción entre una zapata combinada rígida de dos pilares y el terreno de apoyo. Se limita deliberadamente a dos bloques:</w:t>
      </w:r>
    </w:p>
    <w:p>
      <w:pPr>
        <w:pStyle w:val="ListParagraph"/>
        <w:numPr>
          <w:ilvl w:val="0"/>
          <w:numId w:val="2"/>
        </w:numPr>
        <w:spacing w:after="80" w:line="262"/>
        <w:jc w:val="both"/>
      </w:pPr>
      <w:r>
        <w:rPr>
          <w:rFonts w:ascii="Calibri" w:cs="Calibri" w:eastAsia="Calibri" w:hAnsi="Calibri"/>
          <w:b w:val="false"/>
          <w:bCs w:val="false"/>
          <w:i w:val="false"/>
          <w:iCs w:val="false"/>
          <w:color w:val="1A1A1A"/>
          <w:sz w:val="21"/>
          <w:szCs w:val="21"/>
        </w:rPr>
        <w:t xml:space="preserve">La determinación de la distribución de presiones bajo la base </w:t>
      </w:r>
      <w:r>
        <w:rPr>
          <w:rFonts w:ascii="Calibri" w:cs="Calibri" w:eastAsia="Calibri" w:hAnsi="Calibri"/>
          <w:b w:val="false"/>
          <w:bCs w:val="false"/>
          <w:i w:val="false"/>
          <w:iCs w:val="false"/>
          <w:color w:val="1A1A1A"/>
          <w:sz w:val="21"/>
          <w:szCs w:val="21"/>
        </w:rPr>
        <w:t xml:space="preserve">y las comprobaciones tensionales asociadas (presión media, presión máxima de borde y ausencia de despegue).</w:t>
      </w:r>
    </w:p>
    <w:p>
      <w:pPr>
        <w:pStyle w:val="ListParagraph"/>
        <w:numPr>
          <w:ilvl w:val="0"/>
          <w:numId w:val="2"/>
        </w:numPr>
        <w:spacing w:after="80" w:line="262"/>
        <w:jc w:val="both"/>
      </w:pPr>
      <w:r>
        <w:rPr>
          <w:rFonts w:ascii="Calibri" w:cs="Calibri" w:eastAsia="Calibri" w:hAnsi="Calibri"/>
          <w:b w:val="false"/>
          <w:bCs w:val="false"/>
          <w:i w:val="false"/>
          <w:iCs w:val="false"/>
          <w:color w:val="1A1A1A"/>
          <w:sz w:val="21"/>
          <w:szCs w:val="21"/>
        </w:rPr>
        <w:t xml:space="preserve">La clasificación de la zapata como rígida, entendida en su doble acepción: rigidez geométrica de los vuelos y rigidez relativa del conjunto zapata-terreno.</w:t>
      </w:r>
    </w:p>
    <w:p>
      <w:pPr>
        <w:spacing w:after="140" w:before="0" w:line="264"/>
        <w:jc w:val="both"/>
      </w:pPr>
      <w:r>
        <w:rPr>
          <w:rFonts w:ascii="Calibri" w:cs="Calibri" w:eastAsia="Calibri" w:hAnsi="Calibri"/>
          <w:b w:val="false"/>
          <w:bCs w:val="false"/>
          <w:i w:val="false"/>
          <w:iCs w:val="false"/>
          <w:color w:val="1A1A1A"/>
          <w:sz w:val="21"/>
          <w:szCs w:val="21"/>
        </w:rPr>
        <w:t xml:space="preserve">Quedan expresamente excluidos de este documento el análisis longitudinal como viga invertida, el dimensionamiento de las armaduras longitudinal y transversal, la comprobación de punzonamiento, la comprobación de cortante y cualquier verificación en Estado Límite Último de la sección de hormigón. Estas verificaciones son necesarias para el proyecto completo de la cimentación y se abordan en documentos posteriores.</w:t>
      </w:r>
    </w:p>
    <w:p>
      <w:pPr>
        <w:pStyle w:val="Heading2"/>
        <w:spacing w:after="120" w:before="260"/>
      </w:pPr>
      <w:r>
        <w:rPr>
          <w:rFonts w:ascii="Calibri" w:cs="Calibri" w:eastAsia="Calibri" w:hAnsi="Calibri"/>
          <w:b/>
          <w:bCs/>
          <w:i w:val="false"/>
          <w:iCs w:val="false"/>
          <w:color w:val="0F3D5C"/>
          <w:sz w:val="24"/>
          <w:szCs w:val="24"/>
        </w:rPr>
        <w:t xml:space="preserve">1.1 Tipología cubierta</w:t>
      </w:r>
    </w:p>
    <w:p>
      <w:pPr>
        <w:spacing w:after="140" w:before="0" w:line="264"/>
        <w:jc w:val="both"/>
      </w:pPr>
      <w:r>
        <w:rPr>
          <w:rFonts w:ascii="Calibri" w:cs="Calibri" w:eastAsia="Calibri" w:hAnsi="Calibri"/>
          <w:b w:val="false"/>
          <w:bCs w:val="false"/>
          <w:i w:val="false"/>
          <w:iCs w:val="false"/>
          <w:color w:val="1A1A1A"/>
          <w:sz w:val="21"/>
          <w:szCs w:val="21"/>
        </w:rPr>
        <w:t xml:space="preserve">El procedimiento se aplica a zapatas de planta rectangular que reciben dos soportes de sección rectangular, con las siguientes condiciones de partida:</w:t>
      </w:r>
    </w:p>
    <w:p>
      <w:pPr>
        <w:pStyle w:val="ListParagraph"/>
        <w:numPr>
          <w:ilvl w:val="0"/>
          <w:numId w:val="2"/>
        </w:numPr>
        <w:spacing w:after="80" w:line="262"/>
        <w:jc w:val="both"/>
      </w:pPr>
      <w:r>
        <w:rPr>
          <w:rFonts w:ascii="Calibri" w:cs="Calibri" w:eastAsia="Calibri" w:hAnsi="Calibri"/>
          <w:b w:val="false"/>
          <w:bCs w:val="false"/>
          <w:i w:val="false"/>
          <w:iCs w:val="false"/>
          <w:color w:val="1A1A1A"/>
          <w:sz w:val="21"/>
          <w:szCs w:val="21"/>
        </w:rPr>
        <w:t xml:space="preserve">Los ejes de ambos pilares están contenidos en el eje longitudinal de la zapata. No se contempla desalineación en planta entre la recta que une los soportes y el eje mayor de la cimentación.</w:t>
      </w:r>
    </w:p>
    <w:p>
      <w:pPr>
        <w:pStyle w:val="ListParagraph"/>
        <w:numPr>
          <w:ilvl w:val="0"/>
          <w:numId w:val="2"/>
        </w:numPr>
        <w:spacing w:after="80" w:line="262"/>
        <w:jc w:val="both"/>
      </w:pPr>
      <w:r>
        <w:rPr>
          <w:rFonts w:ascii="Calibri" w:cs="Calibri" w:eastAsia="Calibri" w:hAnsi="Calibri"/>
          <w:b w:val="false"/>
          <w:bCs w:val="false"/>
          <w:i w:val="false"/>
          <w:iCs w:val="false"/>
          <w:color w:val="1A1A1A"/>
          <w:sz w:val="21"/>
          <w:szCs w:val="21"/>
        </w:rPr>
        <w:t xml:space="preserve">Los pilares están centrados respecto al eje transversal de la zapata; su excentricidad en esa dirección es nula.</w:t>
      </w:r>
    </w:p>
    <w:p>
      <w:pPr>
        <w:pStyle w:val="ListParagraph"/>
        <w:numPr>
          <w:ilvl w:val="0"/>
          <w:numId w:val="2"/>
        </w:numPr>
        <w:spacing w:after="80" w:line="262"/>
        <w:jc w:val="both"/>
      </w:pPr>
      <w:r>
        <w:rPr>
          <w:rFonts w:ascii="Calibri" w:cs="Calibri" w:eastAsia="Calibri" w:hAnsi="Calibri"/>
          <w:b w:val="false"/>
          <w:bCs w:val="false"/>
          <w:i w:val="false"/>
          <w:iCs w:val="false"/>
          <w:color w:val="1A1A1A"/>
          <w:sz w:val="21"/>
          <w:szCs w:val="21"/>
        </w:rPr>
        <w:t xml:space="preserve">La planta es rectangular en todos los casos. No se contempla la planta trapecial, alternativa clásica para cargas muy dispares, por su mayor dificultad de ejecución y replanteo en obra.</w:t>
      </w:r>
    </w:p>
    <w:p>
      <w:pPr>
        <w:pStyle w:val="ListParagraph"/>
        <w:numPr>
          <w:ilvl w:val="0"/>
          <w:numId w:val="2"/>
        </w:numPr>
        <w:spacing w:after="80" w:line="262"/>
        <w:jc w:val="both"/>
      </w:pPr>
      <w:r>
        <w:rPr>
          <w:rFonts w:ascii="Calibri" w:cs="Calibri" w:eastAsia="Calibri" w:hAnsi="Calibri"/>
          <w:b w:val="false"/>
          <w:bCs w:val="false"/>
          <w:i w:val="false"/>
          <w:iCs w:val="false"/>
          <w:color w:val="1A1A1A"/>
          <w:sz w:val="21"/>
          <w:szCs w:val="21"/>
        </w:rPr>
        <w:t xml:space="preserve">El centrado de la resultante se consigue desplazando la zapata respecto a los soportes, no modificando su forma.</w:t>
      </w:r>
    </w:p>
    <w:p>
      <w:pPr>
        <w:pBdr>
          <w:left w:val="single" w:color="AF4530" w:sz="18" w:space="10"/>
        </w:pBdr>
        <w:shd w:fill="FBF6F4" w:val="clear"/>
        <w:spacing w:after="160" w:before="140" w:line="262"/>
        <w:ind w:left="220" w:right="160"/>
        <w:jc w:val="both"/>
      </w:pPr>
      <w:r>
        <w:rPr>
          <w:rFonts w:ascii="Calibri" w:cs="Calibri" w:eastAsia="Calibri" w:hAnsi="Calibri"/>
          <w:b/>
          <w:bCs/>
          <w:i w:val="false"/>
          <w:iCs w:val="false"/>
          <w:color w:val="AF4530"/>
          <w:sz w:val="20"/>
          <w:szCs w:val="20"/>
        </w:rPr>
        <w:t xml:space="preserve">Criterio de proyecto. </w:t>
      </w:r>
      <w:r>
        <w:rPr>
          <w:rFonts w:ascii="Calibri" w:cs="Calibri" w:eastAsia="Calibri" w:hAnsi="Calibri"/>
          <w:b w:val="false"/>
          <w:bCs w:val="false"/>
          <w:i w:val="false"/>
          <w:iCs w:val="false"/>
          <w:color w:val="202020"/>
          <w:sz w:val="20"/>
          <w:szCs w:val="20"/>
        </w:rPr>
        <w:t xml:space="preserve">La restricción a planta rectangular no es una simplificación del modelo: es una decisión de proyecto. El equilibrio entre la resultante de cargas y el centro de gravedad del área de apoyo se alcanza mediante el descentramiento del rectángulo, variable que el procedimiento trata explícitamente.</w:t>
      </w:r>
    </w:p>
    <w:p>
      <w:pPr>
        <w:pStyle w:val="Heading2"/>
        <w:spacing w:after="120" w:before="260"/>
      </w:pPr>
      <w:r>
        <w:rPr>
          <w:rFonts w:ascii="Calibri" w:cs="Calibri" w:eastAsia="Calibri" w:hAnsi="Calibri"/>
          <w:b/>
          <w:bCs/>
          <w:i w:val="false"/>
          <w:iCs w:val="false"/>
          <w:color w:val="0F3D5C"/>
          <w:sz w:val="24"/>
          <w:szCs w:val="24"/>
        </w:rPr>
        <w:t xml:space="preserve">1.2 Situación de proyecto considerada</w:t>
      </w:r>
    </w:p>
    <w:p>
      <w:pPr>
        <w:spacing w:after="140" w:before="0" w:line="264"/>
        <w:jc w:val="both"/>
      </w:pPr>
      <w:r>
        <w:rPr>
          <w:rFonts w:ascii="Calibri" w:cs="Calibri" w:eastAsia="Calibri" w:hAnsi="Calibri"/>
          <w:b w:val="false"/>
          <w:bCs w:val="false"/>
          <w:i w:val="false"/>
          <w:iCs w:val="false"/>
          <w:color w:val="1A1A1A"/>
          <w:sz w:val="21"/>
          <w:szCs w:val="21"/>
        </w:rPr>
        <w:t xml:space="preserve">Todas las comprobaciones de esta memoria se realizan en situación persistente o transitoria, con acciones características sin mayorar (valores de servicio). Esta es la práctica exigida para la verificación geotécnica de una cimentación directa: la comparación con la presión admisible del terreno se establece sobre acciones características, mientras que la mayoración por coeficientes parciales corresponde al dimensionamiento estructural de la propia pieza de hormigón, ajeno al alcance de este documento.</w:t>
      </w:r>
    </w:p>
    <w:p>
      <w:pPr>
        <w:spacing w:after="140" w:before="0" w:line="264"/>
        <w:jc w:val="both"/>
      </w:pPr>
      <w:r>
        <w:rPr>
          <w:rFonts w:ascii="Calibri" w:cs="Calibri" w:eastAsia="Calibri" w:hAnsi="Calibri"/>
          <w:b w:val="false"/>
          <w:bCs w:val="false"/>
          <w:i w:val="false"/>
          <w:iCs w:val="false"/>
          <w:color w:val="1A1A1A"/>
          <w:sz w:val="21"/>
          <w:szCs w:val="21"/>
        </w:rPr>
        <w:t xml:space="preserve">No se contemplan situaciones accidentales ni sísmicas. En zonas de sismicidad relevante deben incorporarse las verificaciones adicionales que resulten de aplicación, con las combinaciones y coeficientes propios de esas situaciones.</w:t>
      </w:r>
    </w:p>
    <w:p>
      <w:pPr>
        <w:pStyle w:val="Heading1"/>
        <w:pBdr>
          <w:bottom w:val="single" w:color="0F3D5C" w:sz="8" w:space="5"/>
        </w:pBdr>
        <w:spacing w:after="180" w:before="380"/>
      </w:pPr>
      <w:r>
        <w:rPr>
          <w:rFonts w:ascii="Calibri" w:cs="Calibri" w:eastAsia="Calibri" w:hAnsi="Calibri"/>
          <w:b/>
          <w:bCs/>
          <w:i w:val="false"/>
          <w:iCs w:val="false"/>
          <w:color w:val="0F3D5C"/>
          <w:sz w:val="30"/>
          <w:szCs w:val="30"/>
        </w:rPr>
        <w:t xml:space="preserve">2. Marco normativo y bibliográfico</w:t>
      </w:r>
    </w:p>
    <w:p>
      <w:pPr>
        <w:spacing w:after="140" w:before="0" w:line="264"/>
        <w:jc w:val="both"/>
      </w:pPr>
      <w:r>
        <w:rPr>
          <w:rFonts w:ascii="Calibri" w:cs="Calibri" w:eastAsia="Calibri" w:hAnsi="Calibri"/>
          <w:b w:val="false"/>
          <w:bCs w:val="false"/>
          <w:i w:val="false"/>
          <w:iCs w:val="false"/>
          <w:color w:val="1A1A1A"/>
          <w:sz w:val="21"/>
          <w:szCs w:val="21"/>
        </w:rPr>
        <w:t xml:space="preserve">El procedimiento se apoya en el siguiente marco de referencia:</w:t>
      </w:r>
    </w:p>
    <w:p>
      <w:pPr>
        <w:spacing w:after="60"/>
      </w:pPr>
    </w:p>
    <w:tbl>
      <w:tblPr>
        <w:tblW w:type="dxa" w:w="9360"/>
        <w:tblBorders>
          <w:top w:val="single" w:color="B9C6CE" w:sz="4"/>
          <w:left w:val="none" w:sz="0"/>
          <w:bottom w:val="single" w:color="B9C6CE" w:sz="4"/>
          <w:right w:val="none" w:sz="0"/>
          <w:insideH w:val="single" w:color="D7E0E6" w:sz="2"/>
          <w:insideV w:val="none" w:sz="0"/>
        </w:tblBorders>
      </w:tblPr>
      <w:tblGrid>
        <w:gridCol w:w="3100"/>
        <w:gridCol w:w="6260"/>
      </w:tblGrid>
      <w:tr>
        <w:trPr>
          <w:tblHeader/>
        </w:trPr>
        <w:tc>
          <w:tcPr>
            <w:tcW w:type="dxa" w:w="3100"/>
            <w:shd w:fill="DCE8EF" w:val="clear"/>
            <w:tcMar>
              <w:top w:type="dxa" w:w="70"/>
              <w:left w:type="dxa" w:w="110"/>
              <w:bottom w:type="dxa" w:w="70"/>
              <w:right w:type="dxa" w:w="110"/>
            </w:tcMar>
            <w:vAlign w:val="center"/>
          </w:tcPr>
          <w:p>
            <w:pPr>
              <w:spacing w:after="0" w:line="240"/>
              <w:jc w:val="left"/>
            </w:pPr>
            <w:r>
              <w:rPr>
                <w:rFonts w:ascii="Calibri" w:cs="Calibri" w:eastAsia="Calibri" w:hAnsi="Calibri"/>
                <w:b/>
                <w:bCs/>
                <w:i w:val="false"/>
                <w:iCs w:val="false"/>
                <w:color w:val="0F3D5C"/>
                <w:sz w:val="18"/>
                <w:szCs w:val="18"/>
              </w:rPr>
              <w:t xml:space="preserve">Referencia</w:t>
            </w:r>
          </w:p>
        </w:tc>
        <w:tc>
          <w:tcPr>
            <w:tcW w:type="dxa" w:w="6260"/>
            <w:shd w:fill="DCE8EF" w:val="clear"/>
            <w:tcMar>
              <w:top w:type="dxa" w:w="70"/>
              <w:left w:type="dxa" w:w="110"/>
              <w:bottom w:type="dxa" w:w="70"/>
              <w:right w:type="dxa" w:w="110"/>
            </w:tcMar>
            <w:vAlign w:val="center"/>
          </w:tcPr>
          <w:p>
            <w:pPr>
              <w:spacing w:after="0" w:line="240"/>
              <w:jc w:val="left"/>
            </w:pPr>
            <w:r>
              <w:rPr>
                <w:rFonts w:ascii="Calibri" w:cs="Calibri" w:eastAsia="Calibri" w:hAnsi="Calibri"/>
                <w:b/>
                <w:bCs/>
                <w:i w:val="false"/>
                <w:iCs w:val="false"/>
                <w:color w:val="0F3D5C"/>
                <w:sz w:val="18"/>
                <w:szCs w:val="18"/>
              </w:rPr>
              <w:t xml:space="preserve">Contenido aplicado</w:t>
            </w:r>
          </w:p>
        </w:tc>
      </w:tr>
      <w:tr>
        <w:tc>
          <w:tcPr>
            <w:tcW w:type="dxa" w:w="3100"/>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CTE DB SE-C — Documento Básico Seguridad Estructural: Cimientos</w:t>
            </w:r>
          </w:p>
        </w:tc>
        <w:tc>
          <w:tcPr>
            <w:tcW w:type="dxa" w:w="6260"/>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Verificación de cimentaciones directas: presión admisible del terreno, comprobación de la presión de contacto, estabilidad frente a vuelco y deslizamiento. Determinación y correlaciones del módulo de balasto.</w:t>
            </w:r>
          </w:p>
        </w:tc>
      </w:tr>
      <w:tr>
        <w:tc>
          <w:tcPr>
            <w:tcW w:type="dxa" w:w="3100"/>
            <w:shd w:fill="F7F9FB" w:val="clear"/>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Código Estructural (RD 470/2021)</w:t>
            </w:r>
          </w:p>
        </w:tc>
        <w:tc>
          <w:tcPr>
            <w:tcW w:type="dxa" w:w="6260"/>
            <w:shd w:fill="F7F9FB" w:val="clear"/>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Definición y tratamiento de los elementos de cimentación de hormigón armado, incluida la distinción entre elementos rígidos y flexibles según la esbeltez del vuelo.</w:t>
            </w:r>
          </w:p>
        </w:tc>
      </w:tr>
      <w:tr>
        <w:tc>
          <w:tcPr>
            <w:tcW w:type="dxa" w:w="3100"/>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EHE-08 (derogada, referencia histórica)</w:t>
            </w:r>
          </w:p>
        </w:tc>
        <w:tc>
          <w:tcPr>
            <w:tcW w:type="dxa" w:w="6260"/>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Origen de la condición geométrica de rigidez v ≤ 2h, recogida en su artículo 58.2 y mantenida conceptualmente en el Código Estructural vigente.</w:t>
            </w:r>
          </w:p>
        </w:tc>
      </w:tr>
      <w:tr>
        <w:tc>
          <w:tcPr>
            <w:tcW w:type="dxa" w:w="3100"/>
            <w:shd w:fill="F7F9FB" w:val="clear"/>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Hetényi, M. — Beams on Elastic Foundation (1946)</w:t>
            </w:r>
          </w:p>
        </w:tc>
        <w:tc>
          <w:tcPr>
            <w:tcW w:type="dxa" w:w="6260"/>
            <w:shd w:fill="F7F9FB" w:val="clear"/>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Formulación de la viga sobre apoyo elástico continuo tipo Winkler. Origen del factor de rigidez relativa β.</w:t>
            </w:r>
          </w:p>
        </w:tc>
      </w:tr>
      <w:tr>
        <w:tc>
          <w:tcPr>
            <w:tcW w:type="dxa" w:w="3100"/>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Calavera, J. — Cálculo de Estructuras de Cimentación (INTEMAC)</w:t>
            </w:r>
          </w:p>
        </w:tc>
        <w:tc>
          <w:tcPr>
            <w:tcW w:type="dxa" w:w="6260"/>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Criterio práctico de clasificación rígida/flexible de zapatas combinadas y vigas de cimentación a partir del producto β·L.</w:t>
            </w:r>
          </w:p>
        </w:tc>
      </w:tr>
    </w:tbl>
    <w:p>
      <w:pPr>
        <w:spacing w:after="140"/>
      </w:pPr>
    </w:p>
    <w:p>
      <w:pPr>
        <w:pBdr>
          <w:left w:val="single" w:color="AF4530" w:sz="18" w:space="10"/>
        </w:pBdr>
        <w:shd w:fill="FBF6F4" w:val="clear"/>
        <w:spacing w:after="160" w:before="140" w:line="262"/>
        <w:ind w:left="220" w:right="160"/>
        <w:jc w:val="both"/>
      </w:pPr>
      <w:r>
        <w:rPr>
          <w:rFonts w:ascii="Calibri" w:cs="Calibri" w:eastAsia="Calibri" w:hAnsi="Calibri"/>
          <w:b/>
          <w:bCs/>
          <w:i w:val="false"/>
          <w:iCs w:val="false"/>
          <w:color w:val="AF4530"/>
          <w:sz w:val="20"/>
          <w:szCs w:val="20"/>
        </w:rPr>
        <w:t xml:space="preserve">Advertencia. </w:t>
      </w:r>
      <w:r>
        <w:rPr>
          <w:rFonts w:ascii="Calibri" w:cs="Calibri" w:eastAsia="Calibri" w:hAnsi="Calibri"/>
          <w:b w:val="false"/>
          <w:bCs w:val="false"/>
          <w:i w:val="false"/>
          <w:iCs w:val="false"/>
          <w:color w:val="202020"/>
          <w:sz w:val="20"/>
          <w:szCs w:val="20"/>
        </w:rPr>
        <w:t xml:space="preserve">Las referencias a articulado del Código Estructural se hacen por concepto y no por numeración de artículo, dado que la reorganización respecto a EHE-08 hace desaconsejable citar numeraciones sin verificación directa sobre el texto legal vigente. El proyectista debe contrastar la numeración concreta antes de incorporar citas a un documento de proyecto.</w:t>
      </w:r>
    </w:p>
    <w:p>
      <w:pPr>
        <w:pStyle w:val="Heading1"/>
        <w:pBdr>
          <w:bottom w:val="single" w:color="0F3D5C" w:sz="8" w:space="5"/>
        </w:pBdr>
        <w:spacing w:after="180" w:before="380"/>
      </w:pPr>
      <w:r>
        <w:rPr>
          <w:rFonts w:ascii="Calibri" w:cs="Calibri" w:eastAsia="Calibri" w:hAnsi="Calibri"/>
          <w:b/>
          <w:bCs/>
          <w:i w:val="false"/>
          <w:iCs w:val="false"/>
          <w:color w:val="0F3D5C"/>
          <w:sz w:val="30"/>
          <w:szCs w:val="30"/>
        </w:rPr>
        <w:t xml:space="preserve">3. Definición geométrica y sistema de referencia</w:t>
      </w:r>
    </w:p>
    <w:p>
      <w:pPr>
        <w:pStyle w:val="Heading2"/>
        <w:spacing w:after="120" w:before="260"/>
      </w:pPr>
      <w:r>
        <w:rPr>
          <w:rFonts w:ascii="Calibri" w:cs="Calibri" w:eastAsia="Calibri" w:hAnsi="Calibri"/>
          <w:b/>
          <w:bCs/>
          <w:i w:val="false"/>
          <w:iCs w:val="false"/>
          <w:color w:val="0F3D5C"/>
          <w:sz w:val="24"/>
          <w:szCs w:val="24"/>
        </w:rPr>
        <w:t xml:space="preserve">3.1 Ejes y convenio de signos</w:t>
      </w:r>
    </w:p>
    <w:p>
      <w:pPr>
        <w:spacing w:after="140" w:before="0" w:line="264"/>
        <w:jc w:val="both"/>
      </w:pPr>
      <w:r>
        <w:rPr>
          <w:rFonts w:ascii="Calibri" w:cs="Calibri" w:eastAsia="Calibri" w:hAnsi="Calibri"/>
          <w:b w:val="false"/>
          <w:bCs w:val="false"/>
          <w:i w:val="false"/>
          <w:iCs w:val="false"/>
          <w:color w:val="1A1A1A"/>
          <w:sz w:val="21"/>
          <w:szCs w:val="21"/>
        </w:rPr>
        <w:t xml:space="preserve">Se adopta un sistema cartesiano con origen en el centro de gravedad geométrico de la planta de la zapata:</w:t>
      </w:r>
    </w:p>
    <w:p>
      <w:pPr>
        <w:pStyle w:val="ListParagraph"/>
        <w:numPr>
          <w:ilvl w:val="0"/>
          <w:numId w:val="2"/>
        </w:numPr>
        <w:spacing w:after="80" w:line="262"/>
        <w:jc w:val="both"/>
      </w:pPr>
      <w:r>
        <w:rPr>
          <w:rFonts w:ascii="Calibri" w:cs="Calibri" w:eastAsia="Calibri" w:hAnsi="Calibri"/>
          <w:b/>
          <w:bCs/>
          <w:i w:val="false"/>
          <w:iCs w:val="false"/>
          <w:color w:val="1A1A1A"/>
          <w:sz w:val="21"/>
          <w:szCs w:val="21"/>
        </w:rPr>
        <w:t xml:space="preserve">Eje x</w:t>
      </w:r>
      <w:r>
        <w:rPr>
          <w:rFonts w:ascii="Calibri" w:cs="Calibri" w:eastAsia="Calibri" w:hAnsi="Calibri"/>
          <w:b w:val="false"/>
          <w:bCs w:val="false"/>
          <w:i w:val="false"/>
          <w:iCs w:val="false"/>
          <w:color w:val="1A1A1A"/>
          <w:sz w:val="21"/>
          <w:szCs w:val="21"/>
        </w:rPr>
        <w:t xml:space="preserve">: dirección longitudinal, coincidente con la recta que une los ejes de ambos pilares. La dimensión de la zapata en esta dirección se denomina </w:t>
      </w:r>
      <w:r>
        <w:rPr>
          <w:rFonts w:ascii="Calibri" w:cs="Calibri" w:eastAsia="Calibri" w:hAnsi="Calibri"/>
          <w:b/>
          <w:bCs/>
          <w:i w:val="false"/>
          <w:iCs w:val="false"/>
          <w:color w:val="1A1A1A"/>
          <w:sz w:val="21"/>
          <w:szCs w:val="21"/>
        </w:rPr>
        <w:t xml:space="preserve">A</w:t>
      </w:r>
      <w:r>
        <w:rPr>
          <w:rFonts w:ascii="Calibri" w:cs="Calibri" w:eastAsia="Calibri" w:hAnsi="Calibri"/>
          <w:b w:val="false"/>
          <w:bCs w:val="false"/>
          <w:i w:val="false"/>
          <w:iCs w:val="false"/>
          <w:color w:val="1A1A1A"/>
          <w:sz w:val="21"/>
          <w:szCs w:val="21"/>
        </w:rPr>
        <w:t xml:space="preserve">.</w:t>
      </w:r>
    </w:p>
    <w:p>
      <w:pPr>
        <w:pStyle w:val="ListParagraph"/>
        <w:numPr>
          <w:ilvl w:val="0"/>
          <w:numId w:val="2"/>
        </w:numPr>
        <w:spacing w:after="80" w:line="262"/>
        <w:jc w:val="both"/>
      </w:pPr>
      <w:r>
        <w:rPr>
          <w:rFonts w:ascii="Calibri" w:cs="Calibri" w:eastAsia="Calibri" w:hAnsi="Calibri"/>
          <w:b/>
          <w:bCs/>
          <w:i w:val="false"/>
          <w:iCs w:val="false"/>
          <w:color w:val="1A1A1A"/>
          <w:sz w:val="21"/>
          <w:szCs w:val="21"/>
        </w:rPr>
        <w:t xml:space="preserve">Eje y</w:t>
      </w:r>
      <w:r>
        <w:rPr>
          <w:rFonts w:ascii="Calibri" w:cs="Calibri" w:eastAsia="Calibri" w:hAnsi="Calibri"/>
          <w:b w:val="false"/>
          <w:bCs w:val="false"/>
          <w:i w:val="false"/>
          <w:iCs w:val="false"/>
          <w:color w:val="1A1A1A"/>
          <w:sz w:val="21"/>
          <w:szCs w:val="21"/>
        </w:rPr>
        <w:t xml:space="preserve">: dirección transversal, perpendicular a la anterior. La dimensión de la zapata en esta dirección se denomina </w:t>
      </w:r>
      <w:r>
        <w:rPr>
          <w:rFonts w:ascii="Calibri" w:cs="Calibri" w:eastAsia="Calibri" w:hAnsi="Calibri"/>
          <w:b/>
          <w:bCs/>
          <w:i w:val="false"/>
          <w:iCs w:val="false"/>
          <w:color w:val="1A1A1A"/>
          <w:sz w:val="21"/>
          <w:szCs w:val="21"/>
        </w:rPr>
        <w:t xml:space="preserve">B</w:t>
      </w:r>
      <w:r>
        <w:rPr>
          <w:rFonts w:ascii="Calibri" w:cs="Calibri" w:eastAsia="Calibri" w:hAnsi="Calibri"/>
          <w:b w:val="false"/>
          <w:bCs w:val="false"/>
          <w:i w:val="false"/>
          <w:iCs w:val="false"/>
          <w:color w:val="1A1A1A"/>
          <w:sz w:val="21"/>
          <w:szCs w:val="21"/>
        </w:rPr>
        <w:t xml:space="preserve">.</w:t>
      </w:r>
    </w:p>
    <w:p>
      <w:pPr>
        <w:pStyle w:val="ListParagraph"/>
        <w:numPr>
          <w:ilvl w:val="0"/>
          <w:numId w:val="2"/>
        </w:numPr>
        <w:spacing w:after="80" w:line="262"/>
        <w:jc w:val="both"/>
      </w:pPr>
      <w:r>
        <w:rPr>
          <w:rFonts w:ascii="Calibri" w:cs="Calibri" w:eastAsia="Calibri" w:hAnsi="Calibri"/>
          <w:b w:val="false"/>
          <w:bCs w:val="false"/>
          <w:i w:val="false"/>
          <w:iCs w:val="false"/>
          <w:color w:val="1A1A1A"/>
          <w:sz w:val="21"/>
          <w:szCs w:val="21"/>
        </w:rPr>
        <w:t xml:space="preserve">Canto </w:t>
      </w:r>
      <w:r>
        <w:rPr>
          <w:rFonts w:ascii="Calibri" w:cs="Calibri" w:eastAsia="Calibri" w:hAnsi="Calibri"/>
          <w:b/>
          <w:bCs/>
          <w:i w:val="false"/>
          <w:iCs w:val="false"/>
          <w:color w:val="1A1A1A"/>
          <w:sz w:val="21"/>
          <w:szCs w:val="21"/>
        </w:rPr>
        <w:t xml:space="preserve">H</w:t>
      </w:r>
      <w:r>
        <w:rPr>
          <w:rFonts w:ascii="Calibri" w:cs="Calibri" w:eastAsia="Calibri" w:hAnsi="Calibri"/>
          <w:b w:val="false"/>
          <w:bCs w:val="false"/>
          <w:i w:val="false"/>
          <w:iCs w:val="false"/>
          <w:color w:val="1A1A1A"/>
          <w:sz w:val="21"/>
          <w:szCs w:val="21"/>
        </w:rPr>
        <w:t xml:space="preserve">: constante en toda la planta. No se contemplan zapatas de canto variable ni escalonadas.</w:t>
      </w:r>
    </w:p>
    <w:p>
      <w:pPr>
        <w:spacing w:after="140" w:before="0" w:line="264"/>
        <w:jc w:val="both"/>
      </w:pPr>
      <w:r>
        <w:rPr>
          <w:rFonts w:ascii="Calibri" w:cs="Calibri" w:eastAsia="Calibri" w:hAnsi="Calibri"/>
          <w:b w:val="false"/>
          <w:bCs w:val="false"/>
          <w:i w:val="false"/>
          <w:iCs w:val="false"/>
          <w:color w:val="1A1A1A"/>
          <w:sz w:val="21"/>
          <w:szCs w:val="21"/>
        </w:rPr>
        <w:t xml:space="preserve">La posición de los soportes queda definida por dos parámetros independientes: la distancia entre ejes de pilares D₁₂, dato del proyecto que el proyectista no elige, y la distancia d_C del eje del pilar 1 al centro geométrico de la zapata, magnitud siempre positiva que constituye la verdadera variable de diseño del descentramiento.</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x₁ = − d_C                    x₂ = D₁₂ − d_C</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(3.1)</w:t>
      </w:r>
    </w:p>
    <w:p>
      <w:pPr>
        <w:spacing w:after="140" w:before="0" w:line="264"/>
        <w:jc w:val="both"/>
      </w:pPr>
      <w:r>
        <w:rPr>
          <w:rFonts w:ascii="Calibri" w:cs="Calibri" w:eastAsia="Calibri" w:hAnsi="Calibri"/>
          <w:b w:val="false"/>
          <w:bCs w:val="false"/>
          <w:i w:val="false"/>
          <w:iCs w:val="false"/>
          <w:color w:val="1A1A1A"/>
          <w:sz w:val="21"/>
          <w:szCs w:val="21"/>
        </w:rPr>
        <w:t xml:space="preserve">Cada soporte se define por sus dimensiones a_i (paralela al eje x) y b_i (paralela al eje y), con lados paralelos a los ejes de la zapata.</w:t>
      </w:r>
    </w:p>
    <w:p>
      <w:pPr>
        <w:pStyle w:val="Heading2"/>
        <w:spacing w:after="120" w:before="260"/>
      </w:pPr>
      <w:r>
        <w:rPr>
          <w:rFonts w:ascii="Calibri" w:cs="Calibri" w:eastAsia="Calibri" w:hAnsi="Calibri"/>
          <w:b/>
          <w:bCs/>
          <w:i w:val="false"/>
          <w:iCs w:val="false"/>
          <w:color w:val="0F3D5C"/>
          <w:sz w:val="24"/>
          <w:szCs w:val="24"/>
        </w:rPr>
        <w:t xml:space="preserve">3.2 Comprobaciones geométricas de consistencia</w:t>
      </w:r>
    </w:p>
    <w:p>
      <w:pPr>
        <w:spacing w:after="140" w:before="0" w:line="264"/>
        <w:jc w:val="both"/>
      </w:pPr>
      <w:r>
        <w:rPr>
          <w:rFonts w:ascii="Calibri" w:cs="Calibri" w:eastAsia="Calibri" w:hAnsi="Calibri"/>
          <w:b w:val="false"/>
          <w:bCs w:val="false"/>
          <w:i w:val="false"/>
          <w:iCs w:val="false"/>
          <w:color w:val="1A1A1A"/>
          <w:sz w:val="21"/>
          <w:szCs w:val="21"/>
        </w:rPr>
        <w:t xml:space="preserve">Con carácter previo a cualquier verificación tensional se exige la consistencia geométrica del conjunto. Estas comprobaciones son bloqueantes: si no se satisfacen, ningún resultado posterior tiene significado físico, por muy holgado que resulte.</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v₁ = A/2 − d_C − a₁/2 ≥ 0          (vuelo exterior pilar 1)</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(3.2a)</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v₂ = A/2 − (D₁₂ − d_C) − a₂/2 ≥ 0  (vuelo exterior pilar 2)</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(3.2b)</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v_B,i = B/2 − b_i/2 ≥ 0             (vuelos transversales)</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(3.2c)</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D₁₂ − a₁/2 − a₂/2 ≥ 0               (pilares sin solape)</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(3.2d)</w:t>
      </w:r>
    </w:p>
    <w:p>
      <w:pPr>
        <w:spacing w:after="140" w:before="0" w:line="264"/>
        <w:jc w:val="both"/>
      </w:pPr>
      <w:r>
        <w:rPr>
          <w:rFonts w:ascii="Calibri" w:cs="Calibri" w:eastAsia="Calibri" w:hAnsi="Calibri"/>
          <w:b w:val="false"/>
          <w:bCs w:val="false"/>
          <w:i w:val="false"/>
          <w:iCs w:val="false"/>
          <w:color w:val="1A1A1A"/>
          <w:sz w:val="21"/>
          <w:szCs w:val="21"/>
        </w:rPr>
        <w:t xml:space="preserve">El valor nulo es admisible y corresponde al caso de pilar de medianería, en el que una cara del soporte coincide con el borde de la zapata por imposibilidad de volar sobre la parcela colindante. Este es, de hecho, el motivo más frecuente por el que se recurre a la tipología de zapata combinada.</w:t>
      </w:r>
    </w:p>
    <w:p>
      <w:pPr>
        <w:pBdr>
          <w:left w:val="single" w:color="AF4530" w:sz="18" w:space="10"/>
        </w:pBdr>
        <w:shd w:fill="FBF6F4" w:val="clear"/>
        <w:spacing w:after="160" w:before="140" w:line="262"/>
        <w:ind w:left="220" w:right="160"/>
        <w:jc w:val="both"/>
      </w:pPr>
      <w:r>
        <w:rPr>
          <w:rFonts w:ascii="Calibri" w:cs="Calibri" w:eastAsia="Calibri" w:hAnsi="Calibri"/>
          <w:b/>
          <w:bCs/>
          <w:i w:val="false"/>
          <w:iCs w:val="false"/>
          <w:color w:val="AF4530"/>
          <w:sz w:val="20"/>
          <w:szCs w:val="20"/>
        </w:rPr>
        <w:t xml:space="preserve">Nota. </w:t>
      </w:r>
      <w:r>
        <w:rPr>
          <w:rFonts w:ascii="Calibri" w:cs="Calibri" w:eastAsia="Calibri" w:hAnsi="Calibri"/>
          <w:b w:val="false"/>
          <w:bCs w:val="false"/>
          <w:i w:val="false"/>
          <w:iCs w:val="false"/>
          <w:color w:val="202020"/>
          <w:sz w:val="20"/>
          <w:szCs w:val="20"/>
        </w:rPr>
        <w:t xml:space="preserve">Una zapata puede satisfacer holgadamente todas las comprobaciones tensionales y resultar materialmente irrealizable si los soportes no caben dentro de la planta propuesta. Este control elemental es el que evita que una hoja de cálculo devuelva resultados formalmente correctos sobre una geometría imposible.</w:t>
      </w:r>
    </w:p>
    <w:p>
      <w:pPr>
        <w:pStyle w:val="Heading1"/>
        <w:pBdr>
          <w:bottom w:val="single" w:color="0F3D5C" w:sz="8" w:space="5"/>
        </w:pBdr>
        <w:spacing w:after="180" w:before="380"/>
      </w:pPr>
      <w:r>
        <w:rPr>
          <w:rFonts w:ascii="Calibri" w:cs="Calibri" w:eastAsia="Calibri" w:hAnsi="Calibri"/>
          <w:b/>
          <w:bCs/>
          <w:i w:val="false"/>
          <w:iCs w:val="false"/>
          <w:color w:val="0F3D5C"/>
          <w:sz w:val="30"/>
          <w:szCs w:val="30"/>
        </w:rPr>
        <w:t xml:space="preserve">4. Acciones y su traslado al plano de la base</w:t>
      </w:r>
    </w:p>
    <w:p>
      <w:pPr>
        <w:spacing w:after="140" w:before="0" w:line="264"/>
        <w:jc w:val="both"/>
      </w:pPr>
      <w:r>
        <w:rPr>
          <w:rFonts w:ascii="Calibri" w:cs="Calibri" w:eastAsia="Calibri" w:hAnsi="Calibri"/>
          <w:b w:val="false"/>
          <w:bCs w:val="false"/>
          <w:i w:val="false"/>
          <w:iCs w:val="false"/>
          <w:color w:val="1A1A1A"/>
          <w:sz w:val="21"/>
          <w:szCs w:val="21"/>
        </w:rPr>
        <w:t xml:space="preserve">La verificación se plantea en el plano de contacto entre la cara inferior de la zapata y el terreno. Todas las acciones deben trasladarse a ese plano, lo que introduce términos que no aparecen si el análisis se detiene en el arranque del soporte.</w:t>
      </w:r>
    </w:p>
    <w:p>
      <w:pPr>
        <w:pStyle w:val="Heading2"/>
        <w:spacing w:after="120" w:before="260"/>
      </w:pPr>
      <w:r>
        <w:rPr>
          <w:rFonts w:ascii="Calibri" w:cs="Calibri" w:eastAsia="Calibri" w:hAnsi="Calibri"/>
          <w:b/>
          <w:bCs/>
          <w:i w:val="false"/>
          <w:iCs w:val="false"/>
          <w:color w:val="0F3D5C"/>
          <w:sz w:val="24"/>
          <w:szCs w:val="24"/>
        </w:rPr>
        <w:t xml:space="preserve">4.1 Esfuerzo axil total</w:t>
      </w:r>
    </w:p>
    <w:p>
      <w:pPr>
        <w:spacing w:after="140" w:before="0" w:line="264"/>
        <w:jc w:val="both"/>
      </w:pPr>
      <w:r>
        <w:rPr>
          <w:rFonts w:ascii="Calibri" w:cs="Calibri" w:eastAsia="Calibri" w:hAnsi="Calibri"/>
          <w:b w:val="false"/>
          <w:bCs w:val="false"/>
          <w:i w:val="false"/>
          <w:iCs w:val="false"/>
          <w:color w:val="1A1A1A"/>
          <w:sz w:val="21"/>
          <w:szCs w:val="21"/>
        </w:rPr>
        <w:t xml:space="preserve">El axil que solicita el terreno es la suma de los axiles transmitidos por ambos soportes, del peso propio de la zapata y de las cargas gravitatorias que actúan sobre su trasdós:</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N_C = N₁ + N₂ + A·B·H·γ_HA + (q_perm + q_var)·A·B</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(4.1)</w:t>
      </w:r>
    </w:p>
    <w:p>
      <w:pPr>
        <w:spacing w:after="140" w:before="0" w:line="264"/>
        <w:jc w:val="both"/>
      </w:pPr>
      <w:r>
        <w:rPr>
          <w:rFonts w:ascii="Calibri" w:cs="Calibri" w:eastAsia="Calibri" w:hAnsi="Calibri"/>
          <w:b w:val="false"/>
          <w:bCs w:val="false"/>
          <w:i w:val="false"/>
          <w:iCs w:val="false"/>
          <w:color w:val="1A1A1A"/>
          <w:sz w:val="21"/>
          <w:szCs w:val="21"/>
        </w:rPr>
        <w:t xml:space="preserve">El peso propio y las cargas superficiales se consideran uniformemente repartidos sobre la planta y, por tanto, aplicados en el centro de gravedad geométrico. Su momento respecto a ese punto es nulo y no contribuyen a la excentricidad de la resultante, aunque sí incrementan el axil total y, con él, la presión media y el término de excentricidad accidental.</w:t>
      </w:r>
    </w:p>
    <w:p>
      <w:pPr>
        <w:pStyle w:val="Heading2"/>
        <w:spacing w:after="120" w:before="260"/>
      </w:pPr>
      <w:r>
        <w:rPr>
          <w:rFonts w:ascii="Calibri" w:cs="Calibri" w:eastAsia="Calibri" w:hAnsi="Calibri"/>
          <w:b/>
          <w:bCs/>
          <w:i w:val="false"/>
          <w:iCs w:val="false"/>
          <w:color w:val="0F3D5C"/>
          <w:sz w:val="24"/>
          <w:szCs w:val="24"/>
        </w:rPr>
        <w:t xml:space="preserve">4.2 Momentos transmitidos por los soportes</w:t>
      </w:r>
    </w:p>
    <w:p>
      <w:pPr>
        <w:spacing w:after="140" w:before="0" w:line="264"/>
        <w:jc w:val="both"/>
      </w:pPr>
      <w:r>
        <w:rPr>
          <w:rFonts w:ascii="Calibri" w:cs="Calibri" w:eastAsia="Calibri" w:hAnsi="Calibri"/>
          <w:b w:val="false"/>
          <w:bCs w:val="false"/>
          <w:i w:val="false"/>
          <w:iCs w:val="false"/>
          <w:color w:val="1A1A1A"/>
          <w:sz w:val="21"/>
          <w:szCs w:val="21"/>
        </w:rPr>
        <w:t xml:space="preserve">Cada soporte transmite a la zapata un momento flector en cada dirección. Se adopta el convenio de que M_x flecta en el plano transversal (dirección B) y M_y flecta en el plano longitudinal (dirección A).</w:t>
      </w:r>
    </w:p>
    <w:p>
      <w:pPr>
        <w:pStyle w:val="Heading2"/>
        <w:spacing w:after="120" w:before="260"/>
      </w:pPr>
      <w:r>
        <w:rPr>
          <w:rFonts w:ascii="Calibri" w:cs="Calibri" w:eastAsia="Calibri" w:hAnsi="Calibri"/>
          <w:b/>
          <w:bCs/>
          <w:i w:val="false"/>
          <w:iCs w:val="false"/>
          <w:color w:val="0F3D5C"/>
          <w:sz w:val="24"/>
          <w:szCs w:val="24"/>
        </w:rPr>
        <w:t xml:space="preserve">4.3 Momento inducido por los esfuerzos cortantes</w:t>
      </w:r>
    </w:p>
    <w:p>
      <w:pPr>
        <w:spacing w:after="140" w:before="0" w:line="264"/>
        <w:jc w:val="both"/>
      </w:pPr>
      <w:r>
        <w:rPr>
          <w:rFonts w:ascii="Calibri" w:cs="Calibri" w:eastAsia="Calibri" w:hAnsi="Calibri"/>
          <w:b w:val="false"/>
          <w:bCs w:val="false"/>
          <w:i w:val="false"/>
          <w:iCs w:val="false"/>
          <w:color w:val="1A1A1A"/>
          <w:sz w:val="21"/>
          <w:szCs w:val="21"/>
        </w:rPr>
        <w:t xml:space="preserve">Este término es específico del análisis en la base y con frecuencia se omite indebidamente. Un esfuerzo cortante aplicado en el arranque del soporte, al trasladarse al plano de cimentación situado un canto H por debajo, genera un momento adicional de valor V·H que se suma algebraicamente al momento de pilar de la misma dirección:</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p_A,i = M_y,i + V_x,i · H      (momento en dirección A)</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(4.2a)</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p_B,i = M_x,i + V_y,i · H      (momento en dirección B)</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(4.2b)</w:t>
      </w:r>
    </w:p>
    <w:p>
      <w:pPr>
        <w:spacing w:after="140" w:before="0" w:line="264"/>
        <w:jc w:val="both"/>
      </w:pPr>
      <w:r>
        <w:rPr>
          <w:rFonts w:ascii="Calibri" w:cs="Calibri" w:eastAsia="Calibri" w:hAnsi="Calibri"/>
          <w:b w:val="false"/>
          <w:bCs w:val="false"/>
          <w:i w:val="false"/>
          <w:iCs w:val="false"/>
          <w:color w:val="1A1A1A"/>
          <w:sz w:val="21"/>
          <w:szCs w:val="21"/>
        </w:rPr>
        <w:t xml:space="preserve">La magnitud de este término no es despreciable. Con cantos del orden del metro, habituales en zapatas combinadas rígidas, un cortante de 10 kN produce un momento de 10 kN·m en la base, comparable al momento propio del soporte en muchas estructuras de edificación residencial. Omitirlo conduce a subestimar sistemáticamente la excentricidad de la resultante.</w:t>
      </w:r>
    </w:p>
    <w:p>
      <w:pPr>
        <w:pStyle w:val="Heading2"/>
        <w:spacing w:after="120" w:before="260"/>
      </w:pPr>
      <w:r>
        <w:rPr>
          <w:rFonts w:ascii="Calibri" w:cs="Calibri" w:eastAsia="Calibri" w:hAnsi="Calibri"/>
          <w:b/>
          <w:bCs/>
          <w:i w:val="false"/>
          <w:iCs w:val="false"/>
          <w:color w:val="0F3D5C"/>
          <w:sz w:val="24"/>
          <w:szCs w:val="24"/>
        </w:rPr>
        <w:t xml:space="preserve">4.4 Excentricidad geométrica del descentramiento</w:t>
      </w:r>
    </w:p>
    <w:p>
      <w:pPr>
        <w:spacing w:after="140" w:before="0" w:line="264"/>
        <w:jc w:val="both"/>
      </w:pPr>
      <w:r>
        <w:rPr>
          <w:rFonts w:ascii="Calibri" w:cs="Calibri" w:eastAsia="Calibri" w:hAnsi="Calibri"/>
          <w:b w:val="false"/>
          <w:bCs w:val="false"/>
          <w:i w:val="false"/>
          <w:iCs w:val="false"/>
          <w:color w:val="1A1A1A"/>
          <w:sz w:val="21"/>
          <w:szCs w:val="21"/>
        </w:rPr>
        <w:t xml:space="preserve">Los axiles de los soportes actúan en posiciones x₁ y x₂ que, en general, no coinciden con el centro de gravedad de la zapata. Su momento respecto a ese punto es:</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M_geom = N₁·x₁ + N₂·x₂</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(4.3)</w:t>
      </w:r>
    </w:p>
    <w:p>
      <w:pPr>
        <w:spacing w:after="140" w:before="0" w:line="264"/>
        <w:jc w:val="both"/>
      </w:pPr>
      <w:r>
        <w:rPr>
          <w:rFonts w:ascii="Calibri" w:cs="Calibri" w:eastAsia="Calibri" w:hAnsi="Calibri"/>
          <w:b w:val="false"/>
          <w:bCs w:val="false"/>
          <w:i w:val="false"/>
          <w:iCs w:val="false"/>
          <w:color w:val="1A1A1A"/>
          <w:sz w:val="21"/>
          <w:szCs w:val="21"/>
        </w:rPr>
        <w:t xml:space="preserve">Este término es determinista: no depende de ninguna hipótesis de signo. Constituye precisamente la variable sobre la que actúa el predimensionado geométrico del apartado 8: el valor de d_C que anula M_geom es el que centra la resultante de axiles sobre el centro del área de apoyo, produciendo la distribución de presiones más uniforme alcanzable.</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d_C,óptimo = N₂ · D₁₂ / (N₁ + N₂)</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(4.4)</w:t>
      </w:r>
    </w:p>
    <w:p>
      <w:pPr>
        <w:spacing w:after="140" w:before="0" w:line="264"/>
        <w:jc w:val="both"/>
      </w:pPr>
      <w:r>
        <w:rPr>
          <w:rFonts w:ascii="Calibri" w:cs="Calibri" w:eastAsia="Calibri" w:hAnsi="Calibri"/>
          <w:b w:val="false"/>
          <w:bCs w:val="false"/>
          <w:i w:val="false"/>
          <w:iCs w:val="false"/>
          <w:color w:val="1A1A1A"/>
          <w:sz w:val="21"/>
          <w:szCs w:val="21"/>
        </w:rPr>
        <w:t xml:space="preserve">En la práctica, el redondeo de d_C a dimensiones constructivas y las tolerancias de replanteo dejan un residuo de M_geom que el procedimiento arrastra explícitamente en lugar de despreciarlo.</w:t>
      </w:r>
    </w:p>
    <w:p>
      <w:pPr>
        <w:pStyle w:val="Heading2"/>
        <w:spacing w:after="120" w:before="260"/>
      </w:pPr>
      <w:r>
        <w:rPr>
          <w:rFonts w:ascii="Calibri" w:cs="Calibri" w:eastAsia="Calibri" w:hAnsi="Calibri"/>
          <w:b/>
          <w:bCs/>
          <w:i w:val="false"/>
          <w:iCs w:val="false"/>
          <w:color w:val="0F3D5C"/>
          <w:sz w:val="24"/>
          <w:szCs w:val="24"/>
        </w:rPr>
        <w:t xml:space="preserve">4.5 Excentricidad accidental</w:t>
      </w:r>
    </w:p>
    <w:p>
      <w:pPr>
        <w:spacing w:after="140" w:before="0" w:line="264"/>
        <w:jc w:val="both"/>
      </w:pPr>
      <w:r>
        <w:rPr>
          <w:rFonts w:ascii="Calibri" w:cs="Calibri" w:eastAsia="Calibri" w:hAnsi="Calibri"/>
          <w:b w:val="false"/>
          <w:bCs w:val="false"/>
          <w:i w:val="false"/>
          <w:iCs w:val="false"/>
          <w:color w:val="1A1A1A"/>
          <w:sz w:val="21"/>
          <w:szCs w:val="21"/>
        </w:rPr>
        <w:t xml:space="preserve">A los efectos anteriores se superpone una excentricidad accidental que cubre las imperfecciones de ejecución y replanteo, la desviación real de la posición de los soportes y las incertidumbres del propio modelo. A diferencia de los momentos de pilar, esta excentricidad no admite compensación algebraica: por su naturaleza de imperfección, se aplica siempre en el sentido más desfavorable para la comprobación que se esté realizando.</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M_acc = ± N_C · e_acc      con e_acc típicamente 2 cm</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(4.5)</w:t>
      </w:r>
    </w:p>
    <w:p>
      <w:pPr>
        <w:pBdr>
          <w:left w:val="single" w:color="AF4530" w:sz="18" w:space="10"/>
        </w:pBdr>
        <w:shd w:fill="FBF6F4" w:val="clear"/>
        <w:spacing w:after="160" w:before="140" w:line="262"/>
        <w:ind w:left="220" w:right="160"/>
        <w:jc w:val="both"/>
      </w:pPr>
      <w:r>
        <w:rPr>
          <w:rFonts w:ascii="Calibri" w:cs="Calibri" w:eastAsia="Calibri" w:hAnsi="Calibri"/>
          <w:b/>
          <w:bCs/>
          <w:i w:val="false"/>
          <w:iCs w:val="false"/>
          <w:color w:val="AF4530"/>
          <w:sz w:val="20"/>
          <w:szCs w:val="20"/>
        </w:rPr>
        <w:t xml:space="preserve">Nota. </w:t>
      </w:r>
      <w:r>
        <w:rPr>
          <w:rFonts w:ascii="Calibri" w:cs="Calibri" w:eastAsia="Calibri" w:hAnsi="Calibri"/>
          <w:b w:val="false"/>
          <w:bCs w:val="false"/>
          <w:i w:val="false"/>
          <w:iCs w:val="false"/>
          <w:color w:val="202020"/>
          <w:sz w:val="20"/>
          <w:szCs w:val="20"/>
        </w:rPr>
        <w:t xml:space="preserve">Obsérvese que la excentricidad accidental multiplica al axil total N_C, incluidos peso propio y cargas superficiales, y no solo a los axiles de los soportes. La imperfección afecta a la posición relativa del conjunto de la zapata respecto al terreno, no únicamente a la posición de los pilares.</w:t>
      </w:r>
    </w:p>
    <w:p>
      <w:pPr>
        <w:pStyle w:val="Heading1"/>
        <w:pBdr>
          <w:bottom w:val="single" w:color="0F3D5C" w:sz="8" w:space="5"/>
        </w:pBdr>
        <w:spacing w:after="180" w:before="380"/>
      </w:pPr>
      <w:r>
        <w:rPr>
          <w:rFonts w:ascii="Calibri" w:cs="Calibri" w:eastAsia="Calibri" w:hAnsi="Calibri"/>
          <w:b/>
          <w:bCs/>
          <w:i w:val="false"/>
          <w:iCs w:val="false"/>
          <w:color w:val="0F3D5C"/>
          <w:sz w:val="30"/>
          <w:szCs w:val="30"/>
        </w:rPr>
        <w:t xml:space="preserve">5. Envolvente de hipótesis de signo</w:t>
      </w:r>
    </w:p>
    <w:p>
      <w:pPr>
        <w:pStyle w:val="Heading2"/>
        <w:spacing w:after="120" w:before="260"/>
      </w:pPr>
      <w:r>
        <w:rPr>
          <w:rFonts w:ascii="Calibri" w:cs="Calibri" w:eastAsia="Calibri" w:hAnsi="Calibri"/>
          <w:b/>
          <w:bCs/>
          <w:i w:val="false"/>
          <w:iCs w:val="false"/>
          <w:color w:val="0F3D5C"/>
          <w:sz w:val="24"/>
          <w:szCs w:val="24"/>
        </w:rPr>
        <w:t xml:space="preserve">5.1 Planteamiento del problema</w:t>
      </w:r>
    </w:p>
    <w:p>
      <w:pPr>
        <w:spacing w:after="140" w:before="0" w:line="264"/>
        <w:jc w:val="both"/>
      </w:pPr>
      <w:r>
        <w:rPr>
          <w:rFonts w:ascii="Calibri" w:cs="Calibri" w:eastAsia="Calibri" w:hAnsi="Calibri"/>
          <w:b w:val="false"/>
          <w:bCs w:val="false"/>
          <w:i w:val="false"/>
          <w:iCs w:val="false"/>
          <w:color w:val="1A1A1A"/>
          <w:sz w:val="21"/>
          <w:szCs w:val="21"/>
        </w:rPr>
        <w:t xml:space="preserve">Los listados de esfuerzos procedentes de un programa de cálculo no siempre permiten conocer con certeza el sentido de los momentos y cortantes en cada soporte: los convenios de ejes pueden diferir del adoptado en la cimentación, las envolventes suelen presentarse en valor absoluto y, con frecuencia, el proyectista de la cimentación no es el autor del modelo global. El procedimiento contempla, por tanto, dos modos de trabajo por soporte.</w:t>
      </w:r>
    </w:p>
    <w:p>
      <w:pPr>
        <w:pStyle w:val="ListParagraph"/>
        <w:numPr>
          <w:ilvl w:val="0"/>
          <w:numId w:val="2"/>
        </w:numPr>
        <w:spacing w:after="80" w:line="262"/>
        <w:jc w:val="both"/>
      </w:pPr>
      <w:r>
        <w:rPr>
          <w:rFonts w:ascii="Calibri" w:cs="Calibri" w:eastAsia="Calibri" w:hAnsi="Calibri"/>
          <w:b/>
          <w:bCs/>
          <w:i w:val="false"/>
          <w:iCs w:val="false"/>
          <w:color w:val="1A1A1A"/>
          <w:sz w:val="21"/>
          <w:szCs w:val="21"/>
        </w:rPr>
        <w:t xml:space="preserve">Signos conocidos: </w:t>
      </w:r>
      <w:r>
        <w:rPr>
          <w:rFonts w:ascii="Calibri" w:cs="Calibri" w:eastAsia="Calibri" w:hAnsi="Calibri"/>
          <w:b w:val="false"/>
          <w:bCs w:val="false"/>
          <w:i w:val="false"/>
          <w:iCs w:val="false"/>
          <w:color w:val="1A1A1A"/>
          <w:sz w:val="21"/>
          <w:szCs w:val="21"/>
        </w:rPr>
        <w:t xml:space="preserve">los paquetes de momento se componen algebraicamente y pueden compensarse entre sí.</w:t>
      </w:r>
    </w:p>
    <w:p>
      <w:pPr>
        <w:pStyle w:val="ListParagraph"/>
        <w:numPr>
          <w:ilvl w:val="0"/>
          <w:numId w:val="2"/>
        </w:numPr>
        <w:spacing w:after="80" w:line="262"/>
        <w:jc w:val="both"/>
      </w:pPr>
      <w:r>
        <w:rPr>
          <w:rFonts w:ascii="Calibri" w:cs="Calibri" w:eastAsia="Calibri" w:hAnsi="Calibri"/>
          <w:b/>
          <w:bCs/>
          <w:i w:val="false"/>
          <w:iCs w:val="false"/>
          <w:color w:val="1A1A1A"/>
          <w:sz w:val="21"/>
          <w:szCs w:val="21"/>
        </w:rPr>
        <w:t xml:space="preserve">Signos desconocidos: </w:t>
      </w:r>
      <w:r>
        <w:rPr>
          <w:rFonts w:ascii="Calibri" w:cs="Calibri" w:eastAsia="Calibri" w:hAnsi="Calibri"/>
          <w:b w:val="false"/>
          <w:bCs w:val="false"/>
          <w:i w:val="false"/>
          <w:iCs w:val="false"/>
          <w:color w:val="1A1A1A"/>
          <w:sz w:val="21"/>
          <w:szCs w:val="21"/>
        </w:rPr>
        <w:t xml:space="preserve">los paquetes se acumulan en valor absoluto, en el sentido que resulte más desfavorable para cada comprobación.</w:t>
      </w:r>
    </w:p>
    <w:p>
      <w:pPr>
        <w:spacing w:after="140" w:before="0" w:line="264"/>
        <w:jc w:val="both"/>
      </w:pPr>
      <w:r>
        <w:rPr>
          <w:rFonts w:ascii="Calibri" w:cs="Calibri" w:eastAsia="Calibri" w:hAnsi="Calibri"/>
          <w:b w:val="false"/>
          <w:bCs w:val="false"/>
          <w:i w:val="false"/>
          <w:iCs w:val="false"/>
          <w:color w:val="1A1A1A"/>
          <w:sz w:val="21"/>
          <w:szCs w:val="21"/>
        </w:rPr>
        <w:t xml:space="preserve">La consecuencia es directa y conviene explicitarla: declarar los signos como desconocidos no es una opción neutra, sino conservadora. Dos momentos de sentido contrario que en la realidad se compensan producirán, bajo la hipótesis de desconocimiento, una excentricidad igual a la suma de sus valores absolutos.</w:t>
      </w:r>
    </w:p>
    <w:p>
      <w:pPr>
        <w:pStyle w:val="Heading2"/>
        <w:spacing w:after="120" w:before="260"/>
      </w:pPr>
      <w:r>
        <w:rPr>
          <w:rFonts w:ascii="Calibri" w:cs="Calibri" w:eastAsia="Calibri" w:hAnsi="Calibri"/>
          <w:b/>
          <w:bCs/>
          <w:i w:val="false"/>
          <w:iCs w:val="false"/>
          <w:color w:val="0F3D5C"/>
          <w:sz w:val="24"/>
          <w:szCs w:val="24"/>
        </w:rPr>
        <w:t xml:space="preserve">5.2 Reducción a cuatro casos extremos</w:t>
      </w:r>
    </w:p>
    <w:p>
      <w:pPr>
        <w:spacing w:after="140" w:before="0" w:line="264"/>
        <w:jc w:val="both"/>
      </w:pPr>
      <w:r>
        <w:rPr>
          <w:rFonts w:ascii="Calibri" w:cs="Calibri" w:eastAsia="Calibri" w:hAnsi="Calibri"/>
          <w:b w:val="false"/>
          <w:bCs w:val="false"/>
          <w:i w:val="false"/>
          <w:iCs w:val="false"/>
          <w:color w:val="1A1A1A"/>
          <w:sz w:val="21"/>
          <w:szCs w:val="21"/>
        </w:rPr>
        <w:t xml:space="preserve">Una enumeración exhaustiva de combinaciones de signo (dos soportes, dos direcciones de momento, dos componentes de cortante y dos sentidos de excentricidad accidental) generaría un número elevado de hipótesis. Esa enumeración es innecesaria para el bloque tensional, y la justificación es puramente algebraica.</w:t>
      </w:r>
    </w:p>
    <w:p>
      <w:pPr>
        <w:spacing w:after="140" w:before="0" w:line="264"/>
        <w:jc w:val="both"/>
      </w:pPr>
      <w:r>
        <w:rPr>
          <w:rFonts w:ascii="Calibri" w:cs="Calibri" w:eastAsia="Calibri" w:hAnsi="Calibri"/>
          <w:b w:val="false"/>
          <w:bCs w:val="false"/>
          <w:i w:val="false"/>
          <w:iCs w:val="false"/>
          <w:color w:val="1A1A1A"/>
          <w:sz w:val="21"/>
          <w:szCs w:val="21"/>
        </w:rPr>
        <w:t xml:space="preserve">Los momentos totales respecto al centro de gravedad de la zapata son sumas lineales de términos:</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M_A = M_geom + Σ s_i · p_A,i  ± N_C · e_acc</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(5.1a)</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M_B =           Σ s_i · p_B,i  ± N_C · e_acc</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(5.1b)</w:t>
      </w:r>
    </w:p>
    <w:p>
      <w:pPr>
        <w:spacing w:after="140" w:before="0" w:line="264"/>
        <w:jc w:val="both"/>
      </w:pPr>
      <w:r>
        <w:rPr>
          <w:rFonts w:ascii="Calibri" w:cs="Calibri" w:eastAsia="Calibri" w:hAnsi="Calibri"/>
          <w:b w:val="false"/>
          <w:bCs w:val="false"/>
          <w:i w:val="false"/>
          <w:iCs w:val="false"/>
          <w:color w:val="1A1A1A"/>
          <w:sz w:val="21"/>
          <w:szCs w:val="21"/>
        </w:rPr>
        <w:t xml:space="preserve">En una suma de términos cuyos signos son libres, el valor extremo se alcanza siempre cuando todos los términos inciertos actúan en el mismo sentido: la suma de valores absolutos acota superiormente cualquier combinación intermedia. No existe, por tanto, ninguna combinación de signos interna que pueda superar al extremo, y las combinaciones intermedias no aportan información alguna sobre la envolvente.</w:t>
      </w:r>
    </w:p>
    <w:p>
      <w:pPr>
        <w:spacing w:after="140" w:before="0" w:line="264"/>
        <w:jc w:val="both"/>
      </w:pPr>
      <w:r>
        <w:rPr>
          <w:rFonts w:ascii="Calibri" w:cs="Calibri" w:eastAsia="Calibri" w:hAnsi="Calibri"/>
          <w:b w:val="false"/>
          <w:bCs w:val="false"/>
          <w:i w:val="false"/>
          <w:iCs w:val="false"/>
          <w:color w:val="1A1A1A"/>
          <w:sz w:val="21"/>
          <w:szCs w:val="21"/>
        </w:rPr>
        <w:t xml:space="preserve">Sí es necesario, en cambio, mantener el producto cartesiano entre direcciones. El extremo de M_A y el extremo de M_B no están correlacionados entre sí, y la presión en un punto concreto de la planta depende de la posición conjunta de la resultante, no de cada excentricidad por separado. El problema queda así reducido a cuatro hipótesis:</w:t>
      </w:r>
    </w:p>
    <w:p>
      <w:pPr>
        <w:spacing w:after="60"/>
      </w:pPr>
    </w:p>
    <w:tbl>
      <w:tblPr>
        <w:tblW w:type="dxa" w:w="9360"/>
        <w:tblBorders>
          <w:top w:val="single" w:color="B9C6CE" w:sz="4"/>
          <w:left w:val="none" w:sz="0"/>
          <w:bottom w:val="single" w:color="B9C6CE" w:sz="4"/>
          <w:right w:val="none" w:sz="0"/>
          <w:insideH w:val="single" w:color="D7E0E6" w:sz="2"/>
          <w:insideV w:val="none" w:sz="0"/>
        </w:tblBorders>
      </w:tblPr>
      <w:tblGrid>
        <w:gridCol w:w="1500"/>
        <w:gridCol w:w="4030"/>
        <w:gridCol w:w="3830"/>
      </w:tblGrid>
      <w:tr>
        <w:trPr>
          <w:tblHeader/>
        </w:trPr>
        <w:tc>
          <w:tcPr>
            <w:tcW w:type="dxa" w:w="1500"/>
            <w:shd w:fill="DCE8EF" w:val="clear"/>
            <w:tcMar>
              <w:top w:type="dxa" w:w="70"/>
              <w:left w:type="dxa" w:w="110"/>
              <w:bottom w:type="dxa" w:w="70"/>
              <w:right w:type="dxa" w:w="110"/>
            </w:tcMar>
            <w:vAlign w:val="center"/>
          </w:tcPr>
          <w:p>
            <w:pPr>
              <w:spacing w:after="0" w:line="240"/>
              <w:jc w:val="left"/>
            </w:pPr>
            <w:r>
              <w:rPr>
                <w:rFonts w:ascii="Calibri" w:cs="Calibri" w:eastAsia="Calibri" w:hAnsi="Calibri"/>
                <w:b/>
                <w:bCs/>
                <w:i w:val="false"/>
                <w:iCs w:val="false"/>
                <w:color w:val="0F3D5C"/>
                <w:sz w:val="18"/>
                <w:szCs w:val="18"/>
              </w:rPr>
              <w:t xml:space="preserve">Caso</w:t>
            </w:r>
          </w:p>
        </w:tc>
        <w:tc>
          <w:tcPr>
            <w:tcW w:type="dxa" w:w="4030"/>
            <w:shd w:fill="DCE8EF" w:val="clear"/>
            <w:tcMar>
              <w:top w:type="dxa" w:w="70"/>
              <w:left w:type="dxa" w:w="110"/>
              <w:bottom w:type="dxa" w:w="70"/>
              <w:right w:type="dxa" w:w="110"/>
            </w:tcMar>
            <w:vAlign w:val="center"/>
          </w:tcPr>
          <w:p>
            <w:pPr>
              <w:spacing w:after="0" w:line="240"/>
              <w:jc w:val="left"/>
            </w:pPr>
            <w:r>
              <w:rPr>
                <w:rFonts w:ascii="Calibri" w:cs="Calibri" w:eastAsia="Calibri" w:hAnsi="Calibri"/>
                <w:b/>
                <w:bCs/>
                <w:i w:val="false"/>
                <w:iCs w:val="false"/>
                <w:color w:val="0F3D5C"/>
                <w:sz w:val="18"/>
                <w:szCs w:val="18"/>
              </w:rPr>
              <w:t xml:space="preserve">Momento longitudinal M_A</w:t>
            </w:r>
          </w:p>
        </w:tc>
        <w:tc>
          <w:tcPr>
            <w:tcW w:type="dxa" w:w="3830"/>
            <w:shd w:fill="DCE8EF" w:val="clear"/>
            <w:tcMar>
              <w:top w:type="dxa" w:w="70"/>
              <w:left w:type="dxa" w:w="110"/>
              <w:bottom w:type="dxa" w:w="70"/>
              <w:right w:type="dxa" w:w="110"/>
            </w:tcMar>
            <w:vAlign w:val="center"/>
          </w:tcPr>
          <w:p>
            <w:pPr>
              <w:spacing w:after="0" w:line="240"/>
              <w:jc w:val="left"/>
            </w:pPr>
            <w:r>
              <w:rPr>
                <w:rFonts w:ascii="Calibri" w:cs="Calibri" w:eastAsia="Calibri" w:hAnsi="Calibri"/>
                <w:b/>
                <w:bCs/>
                <w:i w:val="false"/>
                <w:iCs w:val="false"/>
                <w:color w:val="0F3D5C"/>
                <w:sz w:val="18"/>
                <w:szCs w:val="18"/>
              </w:rPr>
              <w:t xml:space="preserve">Momento transversal M_B</w:t>
            </w:r>
          </w:p>
        </w:tc>
      </w:tr>
      <w:tr>
        <w:tc>
          <w:tcPr>
            <w:tcW w:type="dxa" w:w="1500"/>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A+ / B+</w:t>
            </w:r>
          </w:p>
        </w:tc>
        <w:tc>
          <w:tcPr>
            <w:tcW w:type="dxa" w:w="4030"/>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M_geom + Σ|p_A| + N_C·e_acc</w:t>
            </w:r>
          </w:p>
        </w:tc>
        <w:tc>
          <w:tcPr>
            <w:tcW w:type="dxa" w:w="3830"/>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Σ|p_B| + N_C·e_acc</w:t>
            </w:r>
          </w:p>
        </w:tc>
      </w:tr>
      <w:tr>
        <w:tc>
          <w:tcPr>
            <w:tcW w:type="dxa" w:w="1500"/>
            <w:shd w:fill="F7F9FB" w:val="clear"/>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A+ / B−</w:t>
            </w:r>
          </w:p>
        </w:tc>
        <w:tc>
          <w:tcPr>
            <w:tcW w:type="dxa" w:w="4030"/>
            <w:shd w:fill="F7F9FB" w:val="clear"/>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M_geom + Σ|p_A| + N_C·e_acc</w:t>
            </w:r>
          </w:p>
        </w:tc>
        <w:tc>
          <w:tcPr>
            <w:tcW w:type="dxa" w:w="3830"/>
            <w:shd w:fill="F7F9FB" w:val="clear"/>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 Σ|p_B| − N_C·e_acc</w:t>
            </w:r>
          </w:p>
        </w:tc>
      </w:tr>
      <w:tr>
        <w:tc>
          <w:tcPr>
            <w:tcW w:type="dxa" w:w="1500"/>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A− / B+</w:t>
            </w:r>
          </w:p>
        </w:tc>
        <w:tc>
          <w:tcPr>
            <w:tcW w:type="dxa" w:w="4030"/>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M_geom − Σ|p_A| − N_C·e_acc</w:t>
            </w:r>
          </w:p>
        </w:tc>
        <w:tc>
          <w:tcPr>
            <w:tcW w:type="dxa" w:w="3830"/>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Σ|p_B| + N_C·e_acc</w:t>
            </w:r>
          </w:p>
        </w:tc>
      </w:tr>
      <w:tr>
        <w:tc>
          <w:tcPr>
            <w:tcW w:type="dxa" w:w="1500"/>
            <w:shd w:fill="F7F9FB" w:val="clear"/>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A− / B−</w:t>
            </w:r>
          </w:p>
        </w:tc>
        <w:tc>
          <w:tcPr>
            <w:tcW w:type="dxa" w:w="4030"/>
            <w:shd w:fill="F7F9FB" w:val="clear"/>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M_geom − Σ|p_A| − N_C·e_acc</w:t>
            </w:r>
          </w:p>
        </w:tc>
        <w:tc>
          <w:tcPr>
            <w:tcW w:type="dxa" w:w="3830"/>
            <w:shd w:fill="F7F9FB" w:val="clear"/>
            <w:tcMar>
              <w:top w:type="dxa" w:w="70"/>
              <w:left w:type="dxa" w:w="110"/>
              <w:bottom w:type="dxa" w:w="70"/>
              <w:right w:type="dxa" w:w="110"/>
            </w:tcMar>
            <w:vAlign w:val="center"/>
          </w:tcPr>
          <w:p>
            <w:pPr>
              <w:spacing w:after="0" w:line="240"/>
              <w:jc w:val="left"/>
            </w:pPr>
            <w:r>
              <w:rPr>
                <w:rFonts w:ascii="Calibri" w:cs="Calibri" w:eastAsia="Calibri" w:hAnsi="Calibri"/>
                <w:b w:val="false"/>
                <w:bCs w:val="false"/>
                <w:i w:val="false"/>
                <w:iCs w:val="false"/>
                <w:color w:val="1A1A1A"/>
                <w:sz w:val="18"/>
                <w:szCs w:val="18"/>
              </w:rPr>
              <w:t xml:space="preserve">− Σ|p_B| − N_C·e_acc</w:t>
            </w:r>
          </w:p>
        </w:tc>
      </w:tr>
    </w:tbl>
    <w:p>
      <w:pPr>
        <w:spacing w:after="140"/>
      </w:pPr>
    </w:p>
    <w:p>
      <w:pPr>
        <w:spacing w:after="140" w:before="0" w:line="264"/>
        <w:jc w:val="both"/>
      </w:pPr>
      <w:r>
        <w:rPr>
          <w:rFonts w:ascii="Calibri" w:cs="Calibri" w:eastAsia="Calibri" w:hAnsi="Calibri"/>
          <w:b w:val="false"/>
          <w:bCs w:val="false"/>
          <w:i w:val="false"/>
          <w:iCs w:val="false"/>
          <w:color w:val="1A1A1A"/>
          <w:sz w:val="21"/>
          <w:szCs w:val="21"/>
        </w:rPr>
        <w:t xml:space="preserve">Cuando los signos de un soporte se declaran conocidos, su contribución pasa del sumatorio en valor absoluto al término determinista, y las cuatro hipótesis colapsan de forma natural. La formulación es, por tanto, la misma en ambos modos de trabajo.</w:t>
      </w:r>
    </w:p>
    <w:p>
      <w:pPr>
        <w:pBdr>
          <w:left w:val="single" w:color="AF4530" w:sz="18" w:space="10"/>
        </w:pBdr>
        <w:shd w:fill="FBF6F4" w:val="clear"/>
        <w:spacing w:after="160" w:before="140" w:line="262"/>
        <w:ind w:left="220" w:right="160"/>
        <w:jc w:val="both"/>
      </w:pPr>
      <w:r>
        <w:rPr>
          <w:rFonts w:ascii="Calibri" w:cs="Calibri" w:eastAsia="Calibri" w:hAnsi="Calibri"/>
          <w:b/>
          <w:bCs/>
          <w:i w:val="false"/>
          <w:iCs w:val="false"/>
          <w:color w:val="AF4530"/>
          <w:sz w:val="20"/>
          <w:szCs w:val="20"/>
        </w:rPr>
        <w:t xml:space="preserve">Límite de validez. </w:t>
      </w:r>
      <w:r>
        <w:rPr>
          <w:rFonts w:ascii="Calibri" w:cs="Calibri" w:eastAsia="Calibri" w:hAnsi="Calibri"/>
          <w:b w:val="false"/>
          <w:bCs w:val="false"/>
          <w:i w:val="false"/>
          <w:iCs w:val="false"/>
          <w:color w:val="202020"/>
          <w:sz w:val="20"/>
          <w:szCs w:val="20"/>
        </w:rPr>
        <w:t xml:space="preserve">Esta reducción es válida para el bloque tensional, donde el resultado depende de un único par de escalares (M_A, M_B) evaluado en un único punto de referencia. No es extrapolable al análisis longitudinal como viga invertida: allí la forma del diagrama de momentos depende del signo relativo de cada soporte por separado, porque actúan en puntos distintos de la directriz, y la envolvente debe construirse punto a punto sobre un número mayor de hipótesis.</w:t>
      </w:r>
    </w:p>
    <w:p>
      <w:pPr>
        <w:pStyle w:val="Heading1"/>
        <w:pBdr>
          <w:bottom w:val="single" w:color="0F3D5C" w:sz="8" w:space="5"/>
        </w:pBdr>
        <w:spacing w:after="180" w:before="380"/>
      </w:pPr>
      <w:r>
        <w:rPr>
          <w:rFonts w:ascii="Calibri" w:cs="Calibri" w:eastAsia="Calibri" w:hAnsi="Calibri"/>
          <w:b/>
          <w:bCs/>
          <w:i w:val="false"/>
          <w:iCs w:val="false"/>
          <w:color w:val="0F3D5C"/>
          <w:sz w:val="30"/>
          <w:szCs w:val="30"/>
        </w:rPr>
        <w:t xml:space="preserve">6. Distribución de presiones sobre el terreno</w:t>
      </w:r>
    </w:p>
    <w:p>
      <w:pPr>
        <w:pStyle w:val="Heading2"/>
        <w:spacing w:after="120" w:before="260"/>
      </w:pPr>
      <w:r>
        <w:rPr>
          <w:rFonts w:ascii="Calibri" w:cs="Calibri" w:eastAsia="Calibri" w:hAnsi="Calibri"/>
          <w:b/>
          <w:bCs/>
          <w:i w:val="false"/>
          <w:iCs w:val="false"/>
          <w:color w:val="0F3D5C"/>
          <w:sz w:val="24"/>
          <w:szCs w:val="24"/>
        </w:rPr>
        <w:t xml:space="preserve">6.1 Hipótesis del método rígido</w:t>
      </w:r>
    </w:p>
    <w:p>
      <w:pPr>
        <w:spacing w:after="140" w:before="0" w:line="264"/>
        <w:jc w:val="both"/>
      </w:pPr>
      <w:r>
        <w:rPr>
          <w:rFonts w:ascii="Calibri" w:cs="Calibri" w:eastAsia="Calibri" w:hAnsi="Calibri"/>
          <w:b w:val="false"/>
          <w:bCs w:val="false"/>
          <w:i w:val="false"/>
          <w:iCs w:val="false"/>
          <w:color w:val="1A1A1A"/>
          <w:sz w:val="21"/>
          <w:szCs w:val="21"/>
        </w:rPr>
        <w:t xml:space="preserve">Se adopta la hipótesis de distribución lineal de presiones bajo la base, propia del método rígido. Su fundamento es que una zapata suficientemente rígida frente al terreno se desplaza como un sólido indeformable, de modo que el asiento varía linealmente en la planta y, con un modelo de terreno tipo Winkler de balasto constante, la presión resulta también lineal.</w:t>
      </w:r>
    </w:p>
    <w:p>
      <w:pPr>
        <w:spacing w:after="140" w:before="0" w:line="264"/>
        <w:jc w:val="both"/>
      </w:pPr>
      <w:r>
        <w:rPr>
          <w:rFonts w:ascii="Calibri" w:cs="Calibri" w:eastAsia="Calibri" w:hAnsi="Calibri"/>
          <w:b w:val="false"/>
          <w:bCs w:val="false"/>
          <w:i w:val="false"/>
          <w:iCs w:val="false"/>
          <w:color w:val="1A1A1A"/>
          <w:sz w:val="21"/>
          <w:szCs w:val="21"/>
        </w:rPr>
        <w:t xml:space="preserve">Esta hipótesis no es universal: es precisamente la condición que se verifica en el apartado 7. Cuando la zapata no es rígida, los asientos diferenciales bajo cada soporte concentran la presión en su entorno y la distribución real deja de ser lineal, subestimándose los momentos flectores locales.</w:t>
      </w:r>
    </w:p>
    <w:p>
      <w:pPr>
        <w:pStyle w:val="Heading2"/>
        <w:spacing w:after="120" w:before="260"/>
      </w:pPr>
      <w:r>
        <w:rPr>
          <w:rFonts w:ascii="Calibri" w:cs="Calibri" w:eastAsia="Calibri" w:hAnsi="Calibri"/>
          <w:b/>
          <w:bCs/>
          <w:i w:val="false"/>
          <w:iCs w:val="false"/>
          <w:color w:val="0F3D5C"/>
          <w:sz w:val="24"/>
          <w:szCs w:val="24"/>
        </w:rPr>
        <w:t xml:space="preserve">6.2 Formulación con contacto unilateral</w:t>
      </w:r>
    </w:p>
    <w:p>
      <w:pPr>
        <w:spacing w:after="140" w:before="0" w:line="264"/>
        <w:jc w:val="both"/>
      </w:pPr>
      <w:r>
        <w:rPr>
          <w:rFonts w:ascii="Calibri" w:cs="Calibri" w:eastAsia="Calibri" w:hAnsi="Calibri"/>
          <w:b w:val="false"/>
          <w:bCs w:val="false"/>
          <w:i w:val="false"/>
          <w:iCs w:val="false"/>
          <w:color w:val="1A1A1A"/>
          <w:sz w:val="21"/>
          <w:szCs w:val="21"/>
        </w:rPr>
        <w:t xml:space="preserve">La distribución se representa mediante un plano de presiones definido por tres coeficientes:</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p(x, y) = a + b·x + c·y</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(6.1)</w:t>
      </w:r>
    </w:p>
    <w:p>
      <w:pPr>
        <w:spacing w:after="140" w:before="0" w:line="264"/>
        <w:jc w:val="both"/>
      </w:pPr>
      <w:r>
        <w:rPr>
          <w:rFonts w:ascii="Calibri" w:cs="Calibri" w:eastAsia="Calibri" w:hAnsi="Calibri"/>
          <w:b w:val="false"/>
          <w:bCs w:val="false"/>
          <w:i w:val="false"/>
          <w:iCs w:val="false"/>
          <w:color w:val="1A1A1A"/>
          <w:sz w:val="21"/>
          <w:szCs w:val="21"/>
        </w:rPr>
        <w:t xml:space="preserve">El terreno no admite tracciones. La presión efectiva es, por tanto, la parte positiva del plano, y el problema se plantea sobre la región comprimida Ω = {(x,y) ∈ planta : p(x,y) ≥ 0}:</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p_ef(x, y) = máx { p(x, y) , 0 }</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(6.2)</w:t>
      </w:r>
    </w:p>
    <w:p>
      <w:pPr>
        <w:spacing w:after="140" w:before="0" w:line="264"/>
        <w:jc w:val="both"/>
      </w:pPr>
      <w:r>
        <w:rPr>
          <w:rFonts w:ascii="Calibri" w:cs="Calibri" w:eastAsia="Calibri" w:hAnsi="Calibri"/>
          <w:b w:val="false"/>
          <w:bCs w:val="false"/>
          <w:i w:val="false"/>
          <w:iCs w:val="false"/>
          <w:color w:val="1A1A1A"/>
          <w:sz w:val="21"/>
          <w:szCs w:val="21"/>
        </w:rPr>
        <w:t xml:space="preserve">Los tres coeficientes se obtienen imponiendo el equilibrio de la resultante y de sus dos momentos sobre la región comprimida:</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∫∫_Ω p dA = N_C</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(6.3a)</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∫∫_Ω p·x dA = N_C · e_x     con  e_x = M_A / N_C</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(6.3b)</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∫∫_Ω p·y dA = N_C · e_y     con  e_y = M_B / N_C</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(6.3c)</w:t>
      </w:r>
    </w:p>
    <w:p>
      <w:pPr>
        <w:pStyle w:val="Heading2"/>
        <w:spacing w:after="120" w:before="260"/>
      </w:pPr>
      <w:r>
        <w:rPr>
          <w:rFonts w:ascii="Calibri" w:cs="Calibri" w:eastAsia="Calibri" w:hAnsi="Calibri"/>
          <w:b/>
          <w:bCs/>
          <w:i w:val="false"/>
          <w:iCs w:val="false"/>
          <w:color w:val="0F3D5C"/>
          <w:sz w:val="24"/>
          <w:szCs w:val="24"/>
        </w:rPr>
        <w:t xml:space="preserve">6.3 Resolución</w:t>
      </w:r>
    </w:p>
    <w:p>
      <w:pPr>
        <w:spacing w:after="140" w:before="0" w:line="264"/>
        <w:jc w:val="both"/>
      </w:pPr>
      <w:r>
        <w:rPr>
          <w:rFonts w:ascii="Calibri" w:cs="Calibri" w:eastAsia="Calibri" w:hAnsi="Calibri"/>
          <w:b w:val="false"/>
          <w:bCs w:val="false"/>
          <w:i w:val="false"/>
          <w:iCs w:val="false"/>
          <w:color w:val="1A1A1A"/>
          <w:sz w:val="21"/>
          <w:szCs w:val="21"/>
        </w:rPr>
        <w:t xml:space="preserve">Si la solución lineal sobre la planta completa produce presiones no negativas en las cuatro esquinas, el contacto es total y los coeficientes se obtienen en forma cerrada:</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a = N_C/(A·B)    b = 12·N_C·e_x/(B·A³)    c = 12·N_C·e_y/(A·B³)</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(6.4)</w:t>
      </w:r>
    </w:p>
    <w:p>
      <w:pPr>
        <w:spacing w:after="140" w:before="0" w:line="264"/>
        <w:jc w:val="both"/>
      </w:pPr>
      <w:r>
        <w:rPr>
          <w:rFonts w:ascii="Calibri" w:cs="Calibri" w:eastAsia="Calibri" w:hAnsi="Calibri"/>
          <w:b w:val="false"/>
          <w:bCs w:val="false"/>
          <w:i w:val="false"/>
          <w:iCs w:val="false"/>
          <w:color w:val="1A1A1A"/>
          <w:sz w:val="21"/>
          <w:szCs w:val="21"/>
        </w:rPr>
        <w:t xml:space="preserve">Si alguna esquina resulta traccionada, existe despegue parcial y la región comprimida es un polígono convexo obtenido por recorte del rectángulo mediante el semiplano p ≥ 0. El sistema (6.3) deja entonces de ser lineal, pues la propia región de integración depende de la incógnita. Se resuelve iterativamente con integración exacta sobre el polígono comprimido, sin recurrir a discretización, partiendo de la solución lineal y de las soluciones triangulares uniaxiales conocidas como semillas.</w:t>
      </w:r>
    </w:p>
    <w:p>
      <w:pPr>
        <w:spacing w:after="140" w:before="0" w:line="264"/>
        <w:jc w:val="both"/>
      </w:pPr>
      <w:r>
        <w:rPr>
          <w:rFonts w:ascii="Calibri" w:cs="Calibri" w:eastAsia="Calibri" w:hAnsi="Calibri"/>
          <w:b w:val="false"/>
          <w:bCs w:val="false"/>
          <w:i w:val="false"/>
          <w:iCs w:val="false"/>
          <w:color w:val="1A1A1A"/>
          <w:sz w:val="21"/>
          <w:szCs w:val="21"/>
        </w:rPr>
        <w:t xml:space="preserve">Si la resultante cae fuera del contorno de la planta no existe ninguna distribución de presiones que satisfaga el equilibrio. Esta situación se identifica explícitamente y se traduce en el fallo directo de la comprobación: no es un problema numérico, sino la constatación de que la geometría propuesta es inviable frente a las acciones consideradas.</w:t>
      </w:r>
    </w:p>
    <w:p>
      <w:pPr>
        <w:pBdr>
          <w:left w:val="single" w:color="AF4530" w:sz="18" w:space="10"/>
        </w:pBdr>
        <w:shd w:fill="FBF6F4" w:val="clear"/>
        <w:spacing w:after="160" w:before="140" w:line="262"/>
        <w:ind w:left="220" w:right="160"/>
        <w:jc w:val="both"/>
      </w:pPr>
      <w:r>
        <w:rPr>
          <w:rFonts w:ascii="Calibri" w:cs="Calibri" w:eastAsia="Calibri" w:hAnsi="Calibri"/>
          <w:b/>
          <w:bCs/>
          <w:i w:val="false"/>
          <w:iCs w:val="false"/>
          <w:color w:val="AF4530"/>
          <w:sz w:val="20"/>
          <w:szCs w:val="20"/>
        </w:rPr>
        <w:t xml:space="preserve">Nota. </w:t>
      </w:r>
      <w:r>
        <w:rPr>
          <w:rFonts w:ascii="Calibri" w:cs="Calibri" w:eastAsia="Calibri" w:hAnsi="Calibri"/>
          <w:b w:val="false"/>
          <w:bCs w:val="false"/>
          <w:i w:val="false"/>
          <w:iCs w:val="false"/>
          <w:color w:val="202020"/>
          <w:sz w:val="20"/>
          <w:szCs w:val="20"/>
        </w:rPr>
        <w:t xml:space="preserve">La resolución exacta del despegue parcial es una decisión de precisión, no de comodidad. Bajo hipótesis de contacto total, una zapata con despegue arroja presiones de borde ficticiamente moderadas y una presión mínima negativa carente de sentido físico. La integración sobre el área realmente comprimida devuelve la presión de pico correcta, que es la que gobierna la comprobación.</w:t>
      </w:r>
    </w:p>
    <w:p>
      <w:pPr>
        <w:pStyle w:val="Heading1"/>
        <w:pBdr>
          <w:bottom w:val="single" w:color="0F3D5C" w:sz="8" w:space="5"/>
        </w:pBdr>
        <w:spacing w:after="180" w:before="380"/>
      </w:pPr>
      <w:r>
        <w:rPr>
          <w:rFonts w:ascii="Calibri" w:cs="Calibri" w:eastAsia="Calibri" w:hAnsi="Calibri"/>
          <w:b/>
          <w:bCs/>
          <w:i w:val="false"/>
          <w:iCs w:val="false"/>
          <w:color w:val="0F3D5C"/>
          <w:sz w:val="30"/>
          <w:szCs w:val="30"/>
        </w:rPr>
        <w:t xml:space="preserve">7. Comprobaciones tensionales</w:t>
      </w:r>
    </w:p>
    <w:p>
      <w:pPr>
        <w:spacing w:after="140" w:before="0" w:line="264"/>
        <w:jc w:val="both"/>
      </w:pPr>
      <w:r>
        <w:rPr>
          <w:rFonts w:ascii="Calibri" w:cs="Calibri" w:eastAsia="Calibri" w:hAnsi="Calibri"/>
          <w:b w:val="false"/>
          <w:bCs w:val="false"/>
          <w:i w:val="false"/>
          <w:iCs w:val="false"/>
          <w:color w:val="1A1A1A"/>
          <w:sz w:val="21"/>
          <w:szCs w:val="21"/>
        </w:rPr>
        <w:t xml:space="preserve">Se verifican tres condiciones sobre la envolvente de las cuatro hipótesis del apartado 5. Cada una responde a un mecanismo de fallo distinto y ninguna sustituye a las demás.</w:t>
      </w:r>
    </w:p>
    <w:p>
      <w:pPr>
        <w:pStyle w:val="Heading2"/>
        <w:spacing w:after="120" w:before="260"/>
      </w:pPr>
      <w:r>
        <w:rPr>
          <w:rFonts w:ascii="Calibri" w:cs="Calibri" w:eastAsia="Calibri" w:hAnsi="Calibri"/>
          <w:b/>
          <w:bCs/>
          <w:i w:val="false"/>
          <w:iCs w:val="false"/>
          <w:color w:val="0F3D5C"/>
          <w:sz w:val="24"/>
          <w:szCs w:val="24"/>
        </w:rPr>
        <w:t xml:space="preserve">7.1 Presión media</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σ_med = N_C / (A·B)  ≤  σ_adm</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(7.1)</w:t>
      </w:r>
    </w:p>
    <w:p>
      <w:pPr>
        <w:spacing w:after="140" w:before="0" w:line="264"/>
        <w:jc w:val="both"/>
      </w:pPr>
      <w:r>
        <w:rPr>
          <w:rFonts w:ascii="Calibri" w:cs="Calibri" w:eastAsia="Calibri" w:hAnsi="Calibri"/>
          <w:b w:val="false"/>
          <w:bCs w:val="false"/>
          <w:i w:val="false"/>
          <w:iCs w:val="false"/>
          <w:color w:val="1A1A1A"/>
          <w:sz w:val="21"/>
          <w:szCs w:val="21"/>
        </w:rPr>
        <w:t xml:space="preserve">Es la comprobación geotécnica de referencia. La presión admisible σ_adm es un valor de servicio que ya incorpora el coeficiente de seguridad frente al hundimiento del terreno y la limitación de asientos, y procede del estudio geotécnico. La presión media se evalúa sobre el área bruta de la planta, con independencia del reparto y de la eventual existencia de despegue: representa la solicitación global que el conjunto transmite al terreno.</w:t>
      </w:r>
    </w:p>
    <w:p>
      <w:pPr>
        <w:spacing w:after="140" w:before="0" w:line="264"/>
        <w:jc w:val="both"/>
      </w:pPr>
      <w:r>
        <w:rPr>
          <w:rFonts w:ascii="Calibri" w:cs="Calibri" w:eastAsia="Calibri" w:hAnsi="Calibri"/>
          <w:b w:val="false"/>
          <w:bCs w:val="false"/>
          <w:i w:val="false"/>
          <w:iCs w:val="false"/>
          <w:color w:val="1A1A1A"/>
          <w:sz w:val="21"/>
          <w:szCs w:val="21"/>
        </w:rPr>
        <w:t xml:space="preserve">Obsérvese que esta comprobación es independiente de las hipótesis de signo, ya que ni los momentos ni la excentricidad accidental alteran el axil total. Es, por tanto, la única de las tres que gobierna la superficie estrictamente necesaria en planta y la que se emplea en el predimensionado del apartado 8.</w:t>
      </w:r>
    </w:p>
    <w:p>
      <w:pPr>
        <w:pStyle w:val="Heading2"/>
        <w:spacing w:after="120" w:before="260"/>
      </w:pPr>
      <w:r>
        <w:rPr>
          <w:rFonts w:ascii="Calibri" w:cs="Calibri" w:eastAsia="Calibri" w:hAnsi="Calibri"/>
          <w:b/>
          <w:bCs/>
          <w:i w:val="false"/>
          <w:iCs w:val="false"/>
          <w:color w:val="0F3D5C"/>
          <w:sz w:val="24"/>
          <w:szCs w:val="24"/>
        </w:rPr>
        <w:t xml:space="preserve">7.2 Presión máxima de borde</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σ_máx  ≤  k_σ · σ_adm        con k_σ = 1,25 por defecto</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(7.2)</w:t>
      </w:r>
    </w:p>
    <w:p>
      <w:pPr>
        <w:spacing w:after="140" w:before="0" w:line="264"/>
        <w:jc w:val="both"/>
      </w:pPr>
      <w:r>
        <w:rPr>
          <w:rFonts w:ascii="Calibri" w:cs="Calibri" w:eastAsia="Calibri" w:hAnsi="Calibri"/>
          <w:b w:val="false"/>
          <w:bCs w:val="false"/>
          <w:i w:val="false"/>
          <w:iCs w:val="false"/>
          <w:color w:val="1A1A1A"/>
          <w:sz w:val="21"/>
          <w:szCs w:val="21"/>
        </w:rPr>
        <w:t xml:space="preserve">La distribución no uniforme produce una concentración de presión en el borde comprimido que supera la media. Se admite que ese pico exceda la presión admisible en un factor limitado, sobre la base de que se trata de una solicitación localizada, que el terreno redistribuye por su propia plastificación y que la presión admisible incorpora ya un margen frente al hundimiento.</w:t>
      </w:r>
    </w:p>
    <w:p>
      <w:pPr>
        <w:spacing w:after="140" w:before="0" w:line="264"/>
        <w:jc w:val="both"/>
      </w:pPr>
      <w:r>
        <w:rPr>
          <w:rFonts w:ascii="Calibri" w:cs="Calibri" w:eastAsia="Calibri" w:hAnsi="Calibri"/>
          <w:b w:val="false"/>
          <w:bCs w:val="false"/>
          <w:i w:val="false"/>
          <w:iCs w:val="false"/>
          <w:color w:val="1A1A1A"/>
          <w:sz w:val="21"/>
          <w:szCs w:val="21"/>
        </w:rPr>
        <w:t xml:space="preserve">El valor k_σ = 1,25 es el criterio de uso generalizado en la práctica española para distribuciones de contacto no uniformes. Se mantiene como parámetro de entrada modificable, de forma que el proyectista pueda ajustarlo a lo que establezca el estudio geotécnico o a un criterio más restrictivo.</w:t>
      </w:r>
    </w:p>
    <w:p>
      <w:pPr>
        <w:pBdr>
          <w:left w:val="single" w:color="AF4530" w:sz="18" w:space="10"/>
        </w:pBdr>
        <w:shd w:fill="FBF6F4" w:val="clear"/>
        <w:spacing w:after="160" w:before="140" w:line="262"/>
        <w:ind w:left="220" w:right="160"/>
        <w:jc w:val="both"/>
      </w:pPr>
      <w:r>
        <w:rPr>
          <w:rFonts w:ascii="Calibri" w:cs="Calibri" w:eastAsia="Calibri" w:hAnsi="Calibri"/>
          <w:b/>
          <w:bCs/>
          <w:i w:val="false"/>
          <w:iCs w:val="false"/>
          <w:color w:val="AF4530"/>
          <w:sz w:val="20"/>
          <w:szCs w:val="20"/>
        </w:rPr>
        <w:t xml:space="preserve">Advertencia. </w:t>
      </w:r>
      <w:r>
        <w:rPr>
          <w:rFonts w:ascii="Calibri" w:cs="Calibri" w:eastAsia="Calibri" w:hAnsi="Calibri"/>
          <w:b w:val="false"/>
          <w:bCs w:val="false"/>
          <w:i w:val="false"/>
          <w:iCs w:val="false"/>
          <w:color w:val="202020"/>
          <w:sz w:val="20"/>
          <w:szCs w:val="20"/>
        </w:rPr>
        <w:t xml:space="preserve">El valor concreto de k_σ debe contrastarse con la edición vigente del CTE DB SE-C y con las condiciones particulares del estudio geotécnico antes de incorporarlo a un proyecto. La herramienta lo trata como dato, no como constante.</w:t>
      </w:r>
    </w:p>
    <w:p>
      <w:pPr>
        <w:pStyle w:val="Heading2"/>
        <w:spacing w:after="120" w:before="260"/>
      </w:pPr>
      <w:r>
        <w:rPr>
          <w:rFonts w:ascii="Calibri" w:cs="Calibri" w:eastAsia="Calibri" w:hAnsi="Calibri"/>
          <w:b/>
          <w:bCs/>
          <w:i w:val="false"/>
          <w:iCs w:val="false"/>
          <w:color w:val="0F3D5C"/>
          <w:sz w:val="24"/>
          <w:szCs w:val="24"/>
        </w:rPr>
        <w:t xml:space="preserve">7.3 Ausencia de despegue</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σ_mín ≥ 0   en las 4 esquinas y en todas las hipótesis</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(7.3)</w:t>
      </w:r>
    </w:p>
    <w:p>
      <w:pPr>
        <w:spacing w:after="140" w:before="0" w:line="264"/>
        <w:jc w:val="both"/>
      </w:pPr>
      <w:r>
        <w:rPr>
          <w:rFonts w:ascii="Calibri" w:cs="Calibri" w:eastAsia="Calibri" w:hAnsi="Calibri"/>
          <w:b w:val="false"/>
          <w:bCs w:val="false"/>
          <w:i w:val="false"/>
          <w:iCs w:val="false"/>
          <w:color w:val="1A1A1A"/>
          <w:sz w:val="21"/>
          <w:szCs w:val="21"/>
        </w:rPr>
        <w:t xml:space="preserve">La condición equivale a exigir contacto en el cien por cien de la superficie de apoyo. Su justificación es doble. Por un lado, el despegue implica que una parte de la zapata trabaja en vacío, con la consiguiente concentración de presión en el resto y una pérdida efectiva de superficie de apoyo. Por otro, y más relevante en zapatas combinadas, el despegue altera de forma sustancial el diagrama de momentos longitudinales de la fase posterior de armado, dado que suprime la reacción del terreno en la zona levantada.</w:t>
      </w:r>
    </w:p>
    <w:p>
      <w:pPr>
        <w:spacing w:after="140" w:before="0" w:line="264"/>
        <w:jc w:val="both"/>
      </w:pPr>
      <w:r>
        <w:rPr>
          <w:rFonts w:ascii="Calibri" w:cs="Calibri" w:eastAsia="Calibri" w:hAnsi="Calibri"/>
          <w:b w:val="false"/>
          <w:bCs w:val="false"/>
          <w:i w:val="false"/>
          <w:iCs w:val="false"/>
          <w:color w:val="1A1A1A"/>
          <w:sz w:val="21"/>
          <w:szCs w:val="21"/>
        </w:rPr>
        <w:t xml:space="preserve">De forma equivalente, la condición puede expresarse exigiendo que la resultante se mantenga dentro del núcleo central de la sección, cuyos semiejes son A/6 y B/6. Ambas formulaciones son la misma condición y el procedimiento informa de las dos.</w:t>
      </w:r>
    </w:p>
    <w:p>
      <w:pPr>
        <w:pStyle w:val="Heading2"/>
        <w:spacing w:after="120" w:before="260"/>
      </w:pPr>
      <w:r>
        <w:rPr>
          <w:rFonts w:ascii="Calibri" w:cs="Calibri" w:eastAsia="Calibri" w:hAnsi="Calibri"/>
          <w:b/>
          <w:bCs/>
          <w:i w:val="false"/>
          <w:iCs w:val="false"/>
          <w:color w:val="0F3D5C"/>
          <w:sz w:val="24"/>
          <w:szCs w:val="24"/>
        </w:rPr>
        <w:t xml:space="preserve">7.4 Estabilidad global</w:t>
      </w:r>
    </w:p>
    <w:p>
      <w:pPr>
        <w:spacing w:after="140" w:before="0" w:line="264"/>
        <w:jc w:val="both"/>
      </w:pPr>
      <w:r>
        <w:rPr>
          <w:rFonts w:ascii="Calibri" w:cs="Calibri" w:eastAsia="Calibri" w:hAnsi="Calibri"/>
          <w:b w:val="false"/>
          <w:bCs w:val="false"/>
          <w:i w:val="false"/>
          <w:iCs w:val="false"/>
          <w:color w:val="1A1A1A"/>
          <w:sz w:val="21"/>
          <w:szCs w:val="21"/>
        </w:rPr>
        <w:t xml:space="preserve">Con carácter complementario se verifican el vuelco y el deslizamiento del conjunto. El coeficiente de seguridad frente al vuelco se establece en cada dirección como la relación entre el semiancho y la excentricidad, y el de deslizamiento entre la resistencia por rozamiento y cohesión en la base y la resultante horizontal de los cortantes de ambos soportes:</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CS_vuelco,A = (A/2)/|e_x|      CS_vuelco,B = (B/2)/|e_y|</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(7.4)</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CS_desl = (N_C·tan δ + c·A·B) / √(ΣV_x² + ΣV_y²)</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(7.5)</w:t>
      </w:r>
    </w:p>
    <w:p>
      <w:pPr>
        <w:spacing w:after="140" w:before="0" w:line="264"/>
        <w:jc w:val="both"/>
      </w:pPr>
      <w:r>
        <w:rPr>
          <w:rFonts w:ascii="Calibri" w:cs="Calibri" w:eastAsia="Calibri" w:hAnsi="Calibri"/>
          <w:b w:val="false"/>
          <w:bCs w:val="false"/>
          <w:i w:val="false"/>
          <w:iCs w:val="false"/>
          <w:color w:val="1A1A1A"/>
          <w:sz w:val="21"/>
          <w:szCs w:val="21"/>
        </w:rPr>
        <w:t xml:space="preserve">Cuando los signos de los cortantes se declaran desconocidos, la resultante horizontal se compone a partir de la suma de valores absolutos en cada dirección, hipótesis conservadora coherente con el criterio del apartado 5.</w:t>
      </w:r>
    </w:p>
    <w:p>
      <w:pPr>
        <w:pStyle w:val="Heading1"/>
        <w:pBdr>
          <w:bottom w:val="single" w:color="0F3D5C" w:sz="8" w:space="5"/>
        </w:pBdr>
        <w:spacing w:after="180" w:before="380"/>
      </w:pPr>
      <w:r>
        <w:rPr>
          <w:rFonts w:ascii="Calibri" w:cs="Calibri" w:eastAsia="Calibri" w:hAnsi="Calibri"/>
          <w:b/>
          <w:bCs/>
          <w:i w:val="false"/>
          <w:iCs w:val="false"/>
          <w:color w:val="0F3D5C"/>
          <w:sz w:val="30"/>
          <w:szCs w:val="30"/>
        </w:rPr>
        <w:t xml:space="preserve">8. Condición de rigidez</w:t>
      </w:r>
    </w:p>
    <w:p>
      <w:pPr>
        <w:spacing w:after="140" w:before="0" w:line="264"/>
        <w:jc w:val="both"/>
      </w:pPr>
      <w:r>
        <w:rPr>
          <w:rFonts w:ascii="Calibri" w:cs="Calibri" w:eastAsia="Calibri" w:hAnsi="Calibri"/>
          <w:b w:val="false"/>
          <w:bCs w:val="false"/>
          <w:i w:val="false"/>
          <w:iCs w:val="false"/>
          <w:color w:val="1A1A1A"/>
          <w:sz w:val="21"/>
          <w:szCs w:val="21"/>
        </w:rPr>
        <w:t xml:space="preserve">La hipótesis de distribución lineal de presiones del apartado 6 solo es aceptable si la zapata es rígida. Esta condición se verifica en dos planos distintos que responden a fenómenos diferentes y que deben satisfacerse simultáneamente.</w:t>
      </w:r>
    </w:p>
    <w:p>
      <w:pPr>
        <w:pStyle w:val="Heading2"/>
        <w:spacing w:after="120" w:before="260"/>
      </w:pPr>
      <w:r>
        <w:rPr>
          <w:rFonts w:ascii="Calibri" w:cs="Calibri" w:eastAsia="Calibri" w:hAnsi="Calibri"/>
          <w:b/>
          <w:bCs/>
          <w:i w:val="false"/>
          <w:iCs w:val="false"/>
          <w:color w:val="0F3D5C"/>
          <w:sz w:val="24"/>
          <w:szCs w:val="24"/>
        </w:rPr>
        <w:t xml:space="preserve">8.1 Rigidez geométrica de los vuelos</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v_máx  ≤  2·H</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(8.1)</w:t>
      </w:r>
    </w:p>
    <w:p>
      <w:pPr>
        <w:spacing w:after="140" w:before="0" w:line="264"/>
        <w:jc w:val="both"/>
      </w:pPr>
      <w:r>
        <w:rPr>
          <w:rFonts w:ascii="Calibri" w:cs="Calibri" w:eastAsia="Calibri" w:hAnsi="Calibri"/>
          <w:b w:val="false"/>
          <w:bCs w:val="false"/>
          <w:i w:val="false"/>
          <w:iCs w:val="false"/>
          <w:color w:val="1A1A1A"/>
          <w:sz w:val="21"/>
          <w:szCs w:val="21"/>
        </w:rPr>
        <w:t xml:space="preserve">Es la condición clásica que distingue el elemento de cimentación rígido del flexible, procedente del artículo 58.2 de EHE-08 y mantenida conceptualmente en el Código Estructural vigente. Su significado es local: un vuelo corto frente al canto transmite la carga fundamentalmente por un mecanismo de bielas y tirantes, con distribución de tensiones no lineal en el canto, mientras que un vuelo esbelto se comporta como una pieza a flexión con distribución de deformaciones plana.</w:t>
      </w:r>
    </w:p>
    <w:p>
      <w:pPr>
        <w:spacing w:after="140" w:before="0" w:line="264"/>
        <w:jc w:val="both"/>
      </w:pPr>
      <w:r>
        <w:rPr>
          <w:rFonts w:ascii="Calibri" w:cs="Calibri" w:eastAsia="Calibri" w:hAnsi="Calibri"/>
          <w:b w:val="false"/>
          <w:bCs w:val="false"/>
          <w:i w:val="false"/>
          <w:iCs w:val="false"/>
          <w:color w:val="1A1A1A"/>
          <w:sz w:val="21"/>
          <w:szCs w:val="21"/>
        </w:rPr>
        <w:t xml:space="preserve">Su cumplimiento tiene además una consecuencia práctica relevante que se hereda del tratamiento de las zapatas aisladas: en el elemento rígido, el perímetro crítico de punzonamiento situado a dos cantos útiles de la cara del soporte cae fuera de la planta, lo que hace inaplicable la comprobación en su formulación convencional.</w:t>
      </w:r>
    </w:p>
    <w:p>
      <w:pPr>
        <w:pStyle w:val="Heading2"/>
        <w:spacing w:after="120" w:before="260"/>
      </w:pPr>
      <w:r>
        <w:rPr>
          <w:rFonts w:ascii="Calibri" w:cs="Calibri" w:eastAsia="Calibri" w:hAnsi="Calibri"/>
          <w:b/>
          <w:bCs/>
          <w:i w:val="false"/>
          <w:iCs w:val="false"/>
          <w:color w:val="0F3D5C"/>
          <w:sz w:val="24"/>
          <w:szCs w:val="24"/>
        </w:rPr>
        <w:t xml:space="preserve">8.2 Rigidez relativa zapata-terreno</w:t>
      </w:r>
    </w:p>
    <w:p>
      <w:pPr>
        <w:spacing w:after="140" w:before="0" w:line="264"/>
        <w:jc w:val="both"/>
      </w:pPr>
      <w:r>
        <w:rPr>
          <w:rFonts w:ascii="Calibri" w:cs="Calibri" w:eastAsia="Calibri" w:hAnsi="Calibri"/>
          <w:b w:val="false"/>
          <w:bCs w:val="false"/>
          <w:i w:val="false"/>
          <w:iCs w:val="false"/>
          <w:color w:val="1A1A1A"/>
          <w:sz w:val="21"/>
          <w:szCs w:val="21"/>
        </w:rPr>
        <w:t xml:space="preserve">Esta segunda condición es específica de la zapata combinada y no tiene equivalente en la zapata aislada. Mide si el conjunto se comporta como un sólido indeformable frente a la deformabilidad del terreno o si, por el contrario, flecta apreciablemente entre soportes.</w:t>
      </w:r>
    </w:p>
    <w:p>
      <w:pPr>
        <w:spacing w:after="140" w:before="0" w:line="264"/>
        <w:jc w:val="both"/>
      </w:pPr>
      <w:r>
        <w:rPr>
          <w:rFonts w:ascii="Calibri" w:cs="Calibri" w:eastAsia="Calibri" w:hAnsi="Calibri"/>
          <w:b w:val="false"/>
          <w:bCs w:val="false"/>
          <w:i w:val="false"/>
          <w:iCs w:val="false"/>
          <w:color w:val="1A1A1A"/>
          <w:sz w:val="21"/>
          <w:szCs w:val="21"/>
        </w:rPr>
        <w:t xml:space="preserve">Se emplea el factor de rigidez relativa de la viga sobre apoyo elástico continuo de Hetényi, con modelo de terreno tipo Winkler:</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β = ⁴√( k_s · B / (4 · E_c · I) )         [m⁻¹]</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(8.2)</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I = B·H³/12        E_c = 8500·∛(f_ck + 8)  [N/mm²]</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(8.3)</w:t>
      </w:r>
    </w:p>
    <w:p>
      <w:pPr>
        <w:spacing w:after="140" w:before="0" w:line="264"/>
        <w:jc w:val="both"/>
      </w:pPr>
      <w:r>
        <w:rPr>
          <w:rFonts w:ascii="Calibri" w:cs="Calibri" w:eastAsia="Calibri" w:hAnsi="Calibri"/>
          <w:b w:val="false"/>
          <w:bCs w:val="false"/>
          <w:i w:val="false"/>
          <w:iCs w:val="false"/>
          <w:color w:val="1A1A1A"/>
          <w:sz w:val="21"/>
          <w:szCs w:val="21"/>
        </w:rPr>
        <w:t xml:space="preserve">El parámetro β tiene dimensiones de inverso de longitud y su recíproco 1/β es la longitud elástica característica del sistema: la distancia en la que la perturbación introducida por una carga puntual se amortigua sustancialmente. La clasificación se establece comparando la longitud total de la zapata con esa longitud característica:</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β · L  ≤  π/2  ≈  1,5708       →  comportamiento rígido</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(8.4)</w:t>
      </w:r>
    </w:p>
    <w:p>
      <w:pPr>
        <w:spacing w:after="140" w:before="0" w:line="264"/>
        <w:jc w:val="both"/>
      </w:pPr>
      <w:r>
        <w:rPr>
          <w:rFonts w:ascii="Calibri" w:cs="Calibri" w:eastAsia="Calibri" w:hAnsi="Calibri"/>
          <w:b w:val="false"/>
          <w:bCs w:val="false"/>
          <w:i w:val="false"/>
          <w:iCs w:val="false"/>
          <w:color w:val="1A1A1A"/>
          <w:sz w:val="21"/>
          <w:szCs w:val="21"/>
        </w:rPr>
        <w:t xml:space="preserve">El criterio responde a que, cuando la longitud de la pieza es inferior a la mitad de la longitud de onda de la deformada del sistema viga-terreno, la flecha relativa entre extremos resulta despreciable frente al asiento medio y el reparto lineal de presiones es admisible.</w:t>
      </w:r>
    </w:p>
    <w:p>
      <w:pPr>
        <w:pBdr>
          <w:left w:val="single" w:color="AF4530" w:sz="18" w:space="10"/>
        </w:pBdr>
        <w:shd w:fill="FBF6F4" w:val="clear"/>
        <w:spacing w:after="160" w:before="140" w:line="262"/>
        <w:ind w:left="220" w:right="160"/>
        <w:jc w:val="both"/>
      </w:pPr>
      <w:r>
        <w:rPr>
          <w:rFonts w:ascii="Calibri" w:cs="Calibri" w:eastAsia="Calibri" w:hAnsi="Calibri"/>
          <w:b/>
          <w:bCs/>
          <w:i w:val="false"/>
          <w:iCs w:val="false"/>
          <w:color w:val="AF4530"/>
          <w:sz w:val="20"/>
          <w:szCs w:val="20"/>
        </w:rPr>
        <w:t xml:space="preserve">Advertencia. </w:t>
      </w:r>
      <w:r>
        <w:rPr>
          <w:rFonts w:ascii="Calibri" w:cs="Calibri" w:eastAsia="Calibri" w:hAnsi="Calibri"/>
          <w:b w:val="false"/>
          <w:bCs w:val="false"/>
          <w:i w:val="false"/>
          <w:iCs w:val="false"/>
          <w:color w:val="202020"/>
          <w:sz w:val="20"/>
          <w:szCs w:val="20"/>
        </w:rPr>
        <w:t xml:space="preserve">El módulo de balasto k_s es el dato con mayor dispersión de todo el procedimiento y el que gobierna directamente la clasificación de rigidez. Debe proceder del estudio geotécnico. En su defecto, las correlaciones habituales con la presión admisible o con el módulo de deformación deben emplearse con conciencia de su carácter orientativo, y conviene verificar la sensibilidad del resultado ante variaciones del orden de ±50 %.</w:t>
      </w:r>
    </w:p>
    <w:p>
      <w:pPr>
        <w:pStyle w:val="Heading2"/>
        <w:spacing w:after="120" w:before="260"/>
      </w:pPr>
      <w:r>
        <w:rPr>
          <w:rFonts w:ascii="Calibri" w:cs="Calibri" w:eastAsia="Calibri" w:hAnsi="Calibri"/>
          <w:b/>
          <w:bCs/>
          <w:i w:val="false"/>
          <w:iCs w:val="false"/>
          <w:color w:val="0F3D5C"/>
          <w:sz w:val="24"/>
          <w:szCs w:val="24"/>
        </w:rPr>
        <w:t xml:space="preserve">8.3 Consecuencia del incumplimiento</w:t>
      </w:r>
    </w:p>
    <w:p>
      <w:pPr>
        <w:spacing w:after="140" w:before="0" w:line="264"/>
        <w:jc w:val="both"/>
      </w:pPr>
      <w:r>
        <w:rPr>
          <w:rFonts w:ascii="Calibri" w:cs="Calibri" w:eastAsia="Calibri" w:hAnsi="Calibri"/>
          <w:b w:val="false"/>
          <w:bCs w:val="false"/>
          <w:i w:val="false"/>
          <w:iCs w:val="false"/>
          <w:color w:val="1A1A1A"/>
          <w:sz w:val="21"/>
          <w:szCs w:val="21"/>
        </w:rPr>
        <w:t xml:space="preserve">Si no se satisface la condición (8.4) la zapata no puede tratarse por el método rígido. La distribución real de presiones se concentra bajo los soportes, los momentos flectores calculados con reparto lineal quedan del lado de la inseguridad y el análisis debe abordarse mediante un modelo de viga sobre apoyo elástico o de elementos finitos con muelles de terreno. Ese análisis queda fuera del alcance de este documento y del procedimiento asociado.</w:t>
      </w:r>
    </w:p>
    <w:p>
      <w:pPr>
        <w:spacing w:after="140" w:before="0" w:line="264"/>
        <w:jc w:val="both"/>
      </w:pPr>
      <w:r>
        <w:rPr>
          <w:rFonts w:ascii="Calibri" w:cs="Calibri" w:eastAsia="Calibri" w:hAnsi="Calibri"/>
          <w:b w:val="false"/>
          <w:bCs w:val="false"/>
          <w:i w:val="false"/>
          <w:iCs w:val="false"/>
          <w:color w:val="1A1A1A"/>
          <w:sz w:val="21"/>
          <w:szCs w:val="21"/>
        </w:rPr>
        <w:t xml:space="preserve">En la práctica de edificación, el incumplimiento se produce típicamente cuando la distancia entre soportes es grande. En esos casos suele ser preferible abandonar la tipología de zapata combinada monolítica y recurrir a dos zapatas aisladas enlazadas por viga centradora, solución cuyo modelo estructural es distinto y de tratamiento más sencillo.</w:t>
      </w:r>
    </w:p>
    <w:p>
      <w:pPr>
        <w:pStyle w:val="Heading1"/>
        <w:pBdr>
          <w:bottom w:val="single" w:color="0F3D5C" w:sz="8" w:space="5"/>
        </w:pBdr>
        <w:spacing w:after="180" w:before="380"/>
      </w:pPr>
      <w:r>
        <w:rPr>
          <w:rFonts w:ascii="Calibri" w:cs="Calibri" w:eastAsia="Calibri" w:hAnsi="Calibri"/>
          <w:b/>
          <w:bCs/>
          <w:i w:val="false"/>
          <w:iCs w:val="false"/>
          <w:color w:val="0F3D5C"/>
          <w:sz w:val="30"/>
          <w:szCs w:val="30"/>
        </w:rPr>
        <w:t xml:space="preserve">9. Predimensionado</w:t>
      </w:r>
    </w:p>
    <w:p>
      <w:pPr>
        <w:spacing w:after="140" w:before="0" w:line="264"/>
        <w:jc w:val="both"/>
      </w:pPr>
      <w:r>
        <w:rPr>
          <w:rFonts w:ascii="Calibri" w:cs="Calibri" w:eastAsia="Calibri" w:hAnsi="Calibri"/>
          <w:b w:val="false"/>
          <w:bCs w:val="false"/>
          <w:i w:val="false"/>
          <w:iCs w:val="false"/>
          <w:color w:val="1A1A1A"/>
          <w:sz w:val="21"/>
          <w:szCs w:val="21"/>
        </w:rPr>
        <w:t xml:space="preserve">El procedimiento incorpora una determinación automática de dimensiones que constituye un punto de partida, no una solución de proyecto. Su lógica es la siguiente.</w:t>
      </w:r>
    </w:p>
    <w:p>
      <w:pPr>
        <w:spacing w:after="140" w:before="0" w:line="264"/>
        <w:jc w:val="both"/>
      </w:pPr>
      <w:r>
        <w:rPr>
          <w:rFonts w:ascii="Calibri" w:cs="Calibri" w:eastAsia="Calibri" w:hAnsi="Calibri"/>
          <w:b w:val="false"/>
          <w:bCs w:val="false"/>
          <w:i w:val="false"/>
          <w:iCs w:val="false"/>
          <w:color w:val="1A1A1A"/>
          <w:sz w:val="21"/>
          <w:szCs w:val="21"/>
        </w:rPr>
        <w:t xml:space="preserve">En primer lugar se fija el descentramiento que anula el momento geométrico según (4.4), redondeado a dimensión constructiva. A continuación se establecen las dimensiones mínimas compatibles con la geometría de los soportes, dadas por (3.2a) y (3.2b). Sobre esa base se estima la superficie estrictamente necesaria a partir de la presión media, incluyendo el peso propio correspondiente al canto en estudio:</w:t>
      </w:r>
    </w:p>
    <w:p>
      <w:pPr>
        <w:shd w:fill="EEF3F6" w:val="clear"/>
        <w:tabs>
          <w:tab w:val="right" w:pos="9160"/>
        </w:tabs>
        <w:spacing w:after="130" w:before="110" w:line="260"/>
        <w:ind w:left="300" w:right="60"/>
        <w:jc w:val="left"/>
      </w:pPr>
      <w:r>
        <w:rPr>
          <w:rFonts w:ascii="Consolas" w:cs="Consolas" w:eastAsia="Consolas" w:hAnsi="Consolas"/>
          <w:b w:val="false"/>
          <w:bCs w:val="false"/>
          <w:i w:val="false"/>
          <w:iCs w:val="false"/>
          <w:color w:val="092A40"/>
          <w:sz w:val="19"/>
          <w:szCs w:val="19"/>
        </w:rPr>
        <w:t xml:space="preserve">S_req = N_C / σ_adm</w:t>
      </w:r>
      <w:r>
        <w:rPr>
          <w:rFonts w:ascii="Consolas" w:cs="Consolas" w:eastAsia="Consolas" w:hAnsi="Consolas"/>
          <w:color w:val="8D98A2"/>
          <w:sz w:val="17"/>
          <w:szCs w:val="17"/>
        </w:rPr>
        <w:tab/>
      </w:r>
      <w:r>
        <w:rPr>
          <w:rFonts w:ascii="Consolas" w:cs="Consolas" w:eastAsia="Consolas" w:hAnsi="Consolas"/>
          <w:b w:val="false"/>
          <w:bCs w:val="false"/>
          <w:i w:val="false"/>
          <w:iCs w:val="false"/>
          <w:color w:val="8D98A2"/>
          <w:sz w:val="17"/>
          <w:szCs w:val="17"/>
        </w:rPr>
        <w:t xml:space="preserve">(9.1)</w:t>
      </w:r>
    </w:p>
    <w:p>
      <w:pPr>
        <w:spacing w:after="140" w:before="0" w:line="264"/>
        <w:jc w:val="both"/>
      </w:pPr>
      <w:r>
        <w:rPr>
          <w:rFonts w:ascii="Calibri" w:cs="Calibri" w:eastAsia="Calibri" w:hAnsi="Calibri"/>
          <w:b w:val="false"/>
          <w:bCs w:val="false"/>
          <w:i w:val="false"/>
          <w:iCs w:val="false"/>
          <w:color w:val="1A1A1A"/>
          <w:sz w:val="21"/>
          <w:szCs w:val="21"/>
        </w:rPr>
        <w:t xml:space="preserve">La búsqueda recorre el canto desde el mínimo constructivo y, para cada canto, incrementa simultáneamente las dos dimensiones en planta en pasos de 5 cm hasta satisfacer la totalidad de las comprobaciones geométricas, tensionales y de rigidez. Entre todas las soluciones válidas se retiene la de menor volumen de hormigón.</w:t>
      </w:r>
    </w:p>
    <w:p>
      <w:pPr>
        <w:spacing w:after="140" w:before="0" w:line="264"/>
        <w:jc w:val="both"/>
      </w:pPr>
      <w:r>
        <w:rPr>
          <w:rFonts w:ascii="Calibri" w:cs="Calibri" w:eastAsia="Calibri" w:hAnsi="Calibri"/>
          <w:b w:val="false"/>
          <w:bCs w:val="false"/>
          <w:i w:val="false"/>
          <w:iCs w:val="false"/>
          <w:color w:val="1A1A1A"/>
          <w:sz w:val="21"/>
          <w:szCs w:val="21"/>
        </w:rPr>
        <w:t xml:space="preserve">El paso de 5 cm responde a un criterio de trazabilidad: las dimensiones resultantes son directamente constructivas y verificables a mano, frente a un óptimo analítico continuo que exigiría un redondeo posterior y una nueva comprobación.</w:t>
      </w:r>
    </w:p>
    <w:p>
      <w:pPr>
        <w:pBdr>
          <w:left w:val="single" w:color="AF4530" w:sz="18" w:space="10"/>
        </w:pBdr>
        <w:shd w:fill="FBF6F4" w:val="clear"/>
        <w:spacing w:after="160" w:before="140" w:line="262"/>
        <w:ind w:left="220" w:right="160"/>
        <w:jc w:val="both"/>
      </w:pPr>
      <w:r>
        <w:rPr>
          <w:rFonts w:ascii="Calibri" w:cs="Calibri" w:eastAsia="Calibri" w:hAnsi="Calibri"/>
          <w:b/>
          <w:bCs/>
          <w:i w:val="false"/>
          <w:iCs w:val="false"/>
          <w:color w:val="AF4530"/>
          <w:sz w:val="20"/>
          <w:szCs w:val="20"/>
        </w:rPr>
        <w:t xml:space="preserve">Advertencia. </w:t>
      </w:r>
      <w:r>
        <w:rPr>
          <w:rFonts w:ascii="Calibri" w:cs="Calibri" w:eastAsia="Calibri" w:hAnsi="Calibri"/>
          <w:b w:val="false"/>
          <w:bCs w:val="false"/>
          <w:i w:val="false"/>
          <w:iCs w:val="false"/>
          <w:color w:val="202020"/>
          <w:sz w:val="20"/>
          <w:szCs w:val="20"/>
        </w:rPr>
        <w:t xml:space="preserve">Una cimentación no puede dimensionarse sin conocer el contexto completo del edificio: linderos, cimentaciones colindantes, servicios enterrados, cota de apoyo, tipología del resto de la cimentación y criterios de uniformidad de la obra. El predimensionado automático ignora todo ello por construcción. Debe entenderse como una referencia de orden de magnitud sobre la que el proyectista decide, nunca como una solución adoptable sin revisión.</w:t>
      </w:r>
    </w:p>
    <w:p>
      <w:pPr>
        <w:pStyle w:val="Heading1"/>
        <w:pBdr>
          <w:bottom w:val="single" w:color="0F3D5C" w:sz="8" w:space="5"/>
        </w:pBdr>
        <w:spacing w:after="180" w:before="380"/>
      </w:pPr>
      <w:r>
        <w:rPr>
          <w:rFonts w:ascii="Calibri" w:cs="Calibri" w:eastAsia="Calibri" w:hAnsi="Calibri"/>
          <w:b/>
          <w:bCs/>
          <w:i w:val="false"/>
          <w:iCs w:val="false"/>
          <w:color w:val="0F3D5C"/>
          <w:sz w:val="30"/>
          <w:szCs w:val="30"/>
        </w:rPr>
        <w:t xml:space="preserve">10. Limitaciones</w:t>
      </w:r>
    </w:p>
    <w:p>
      <w:pPr>
        <w:spacing w:after="140" w:before="0" w:line="264"/>
        <w:jc w:val="both"/>
      </w:pPr>
      <w:r>
        <w:rPr>
          <w:rFonts w:ascii="Calibri" w:cs="Calibri" w:eastAsia="Calibri" w:hAnsi="Calibri"/>
          <w:b w:val="false"/>
          <w:bCs w:val="false"/>
          <w:i w:val="false"/>
          <w:iCs w:val="false"/>
          <w:color w:val="1A1A1A"/>
          <w:sz w:val="21"/>
          <w:szCs w:val="21"/>
        </w:rPr>
        <w:t xml:space="preserve">Se recogen de forma expresa las limitaciones del procedimiento descrito:</w:t>
      </w:r>
    </w:p>
    <w:p>
      <w:pPr>
        <w:pStyle w:val="ListParagraph"/>
        <w:numPr>
          <w:ilvl w:val="0"/>
          <w:numId w:val="2"/>
        </w:numPr>
        <w:spacing w:after="80" w:line="262"/>
        <w:jc w:val="both"/>
      </w:pPr>
      <w:r>
        <w:rPr>
          <w:rFonts w:ascii="Calibri" w:cs="Calibri" w:eastAsia="Calibri" w:hAnsi="Calibri"/>
          <w:b w:val="false"/>
          <w:bCs w:val="false"/>
          <w:i w:val="false"/>
          <w:iCs w:val="false"/>
          <w:color w:val="1A1A1A"/>
          <w:sz w:val="21"/>
          <w:szCs w:val="21"/>
        </w:rPr>
        <w:t xml:space="preserve">El documento cubre exclusivamente la verificación de las tensiones sobre el terreno y la clasificación de rigidez. No dimensiona armaduras ni verifica ningún Estado Límite Último de la sección de hormigón.</w:t>
      </w:r>
    </w:p>
    <w:p>
      <w:pPr>
        <w:pStyle w:val="ListParagraph"/>
        <w:numPr>
          <w:ilvl w:val="0"/>
          <w:numId w:val="2"/>
        </w:numPr>
        <w:spacing w:after="80" w:line="262"/>
        <w:jc w:val="both"/>
      </w:pPr>
      <w:r>
        <w:rPr>
          <w:rFonts w:ascii="Calibri" w:cs="Calibri" w:eastAsia="Calibri" w:hAnsi="Calibri"/>
          <w:b w:val="false"/>
          <w:bCs w:val="false"/>
          <w:i w:val="false"/>
          <w:iCs w:val="false"/>
          <w:color w:val="1A1A1A"/>
          <w:sz w:val="21"/>
          <w:szCs w:val="21"/>
        </w:rPr>
        <w:t xml:space="preserve">No se comprueban el punzonamiento ni el cortante, ni se analiza el comportamiento longitudinal como viga invertida con sus momentos positivos y negativos.</w:t>
      </w:r>
    </w:p>
    <w:p>
      <w:pPr>
        <w:pStyle w:val="ListParagraph"/>
        <w:numPr>
          <w:ilvl w:val="0"/>
          <w:numId w:val="2"/>
        </w:numPr>
        <w:spacing w:after="80" w:line="262"/>
        <w:jc w:val="both"/>
      </w:pPr>
      <w:r>
        <w:rPr>
          <w:rFonts w:ascii="Calibri" w:cs="Calibri" w:eastAsia="Calibri" w:hAnsi="Calibri"/>
          <w:b w:val="false"/>
          <w:bCs w:val="false"/>
          <w:i w:val="false"/>
          <w:iCs w:val="false"/>
          <w:color w:val="1A1A1A"/>
          <w:sz w:val="21"/>
          <w:szCs w:val="21"/>
        </w:rPr>
        <w:t xml:space="preserve">Se limita a dos soportes alineados con el eje longitudinal y centrados en el eje transversal. No cubre tres o más soportes, desalineaciones en planta ni excentricidad transversal de los pilares.</w:t>
      </w:r>
    </w:p>
    <w:p>
      <w:pPr>
        <w:pStyle w:val="ListParagraph"/>
        <w:numPr>
          <w:ilvl w:val="0"/>
          <w:numId w:val="2"/>
        </w:numPr>
        <w:spacing w:after="80" w:line="262"/>
        <w:jc w:val="both"/>
      </w:pPr>
      <w:r>
        <w:rPr>
          <w:rFonts w:ascii="Calibri" w:cs="Calibri" w:eastAsia="Calibri" w:hAnsi="Calibri"/>
          <w:b w:val="false"/>
          <w:bCs w:val="false"/>
          <w:i w:val="false"/>
          <w:iCs w:val="false"/>
          <w:color w:val="1A1A1A"/>
          <w:sz w:val="21"/>
          <w:szCs w:val="21"/>
        </w:rPr>
        <w:t xml:space="preserve">No se considera la torsión que los esfuerzos cortantes transversales pueden inducir en la pieza.</w:t>
      </w:r>
    </w:p>
    <w:p>
      <w:pPr>
        <w:pStyle w:val="ListParagraph"/>
        <w:numPr>
          <w:ilvl w:val="0"/>
          <w:numId w:val="2"/>
        </w:numPr>
        <w:spacing w:after="80" w:line="262"/>
        <w:jc w:val="both"/>
      </w:pPr>
      <w:r>
        <w:rPr>
          <w:rFonts w:ascii="Calibri" w:cs="Calibri" w:eastAsia="Calibri" w:hAnsi="Calibri"/>
          <w:b w:val="false"/>
          <w:bCs w:val="false"/>
          <w:i w:val="false"/>
          <w:iCs w:val="false"/>
          <w:color w:val="1A1A1A"/>
          <w:sz w:val="21"/>
          <w:szCs w:val="21"/>
        </w:rPr>
        <w:t xml:space="preserve">Toda zapata que no satisfaga la condición de rigidez del apartado 8 queda fuera del ámbito de aplicación y debe verificarse mediante un modelo de viga sobre apoyo elástico.</w:t>
      </w:r>
    </w:p>
    <w:p>
      <w:pPr>
        <w:pStyle w:val="ListParagraph"/>
        <w:numPr>
          <w:ilvl w:val="0"/>
          <w:numId w:val="2"/>
        </w:numPr>
        <w:spacing w:after="80" w:line="262"/>
        <w:jc w:val="both"/>
      </w:pPr>
      <w:r>
        <w:rPr>
          <w:rFonts w:ascii="Calibri" w:cs="Calibri" w:eastAsia="Calibri" w:hAnsi="Calibri"/>
          <w:b w:val="false"/>
          <w:bCs w:val="false"/>
          <w:i w:val="false"/>
          <w:iCs w:val="false"/>
          <w:color w:val="1A1A1A"/>
          <w:sz w:val="21"/>
          <w:szCs w:val="21"/>
        </w:rPr>
        <w:t xml:space="preserve">No se contemplan situaciones accidentales ni sísmicas, ni la interacción con cimentaciones colindantes, ni los asientos diferenciales del conjunto de la estructura.</w:t>
      </w:r>
    </w:p>
    <w:p>
      <w:pPr>
        <w:spacing w:after="200" w:before="0" w:line="264"/>
        <w:jc w:val="both"/>
      </w:pPr>
      <w:r>
        <w:rPr>
          <w:rFonts w:ascii="Calibri" w:cs="Calibri" w:eastAsia="Calibri" w:hAnsi="Calibri"/>
          <w:b w:val="false"/>
          <w:bCs w:val="false"/>
          <w:i w:val="false"/>
          <w:iCs w:val="false"/>
          <w:color w:val="1A1A1A"/>
          <w:sz w:val="21"/>
          <w:szCs w:val="21"/>
        </w:rPr>
        <w:t xml:space="preserve">La verificación aquí descrita es condición necesaria pero no suficiente para la validez de una zapata combinada. Su superación permite continuar con el análisis estructural de la pieza; en ningún caso lo sustituye.</w:t>
      </w:r>
    </w:p>
    <w:sectPr>
      <w:headerReference w:type="default" r:id="rId7"/>
      <w:footerReference w:type="default" r:id="rId8"/>
      <w:pgSz w:w="11906" w:h="16838" w:orient="portrait"/>
      <w:pgMar w:top="1400" w:right="1420" w:bottom="1300" w:left="14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8D98A2"/>
        <w:sz w:val="17"/>
        <w:szCs w:val="17"/>
      </w:rPr>
      <w:t xml:space="preserve">— </w:t>
    </w:r>
    <w:r>
      <w:rPr>
        <w:color w:val="8D98A2"/>
        <w:sz w:val="17"/>
        <w:szCs w:val="17"/>
      </w:rPr>
      <w:fldChar w:fldCharType="begin"/>
      <w:instrText xml:space="preserve">PAGE</w:instrText>
      <w:fldChar w:fldCharType="separate"/>
      <w:fldChar w:fldCharType="end"/>
    </w:r>
    <w:r>
      <w:rPr>
        <w:rFonts w:ascii="Calibri" w:cs="Calibri" w:eastAsia="Calibri" w:hAnsi="Calibri"/>
        <w:b w:val="false"/>
        <w:bCs w:val="false"/>
        <w:i w:val="false"/>
        <w:iCs w:val="false"/>
        <w:color w:val="8D98A2"/>
        <w:sz w:val="17"/>
        <w:szCs w:val="17"/>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CDD4" w:sz="4" w:space="4"/>
      </w:pBdr>
      <w:spacing w:after="60"/>
      <w:jc w:val="right"/>
    </w:pPr>
    <w:r>
      <w:rPr>
        <w:rFonts w:ascii="Calibri" w:cs="Calibri" w:eastAsia="Calibri" w:hAnsi="Calibri"/>
        <w:b w:val="false"/>
        <w:bCs w:val="false"/>
        <w:i w:val="false"/>
        <w:iCs w:val="false"/>
        <w:color w:val="8D98A2"/>
        <w:sz w:val="16"/>
        <w:szCs w:val="16"/>
      </w:rPr>
      <w:t xml:space="preserve">Memoria de Cálculo · Zapatas Combinadas Rígidas · Tensiones y rigidez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40"/>
      </w:pPr>
      <w:rPr>
        <w:b/>
        <w:bCs/>
        <w:color w:val="0F3D5C"/>
      </w:r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3D5C"/>
      <w:sz w:val="30"/>
      <w:szCs w:val="30"/>
    </w:rPr>
  </w:style>
  <w:style w:type="paragraph" w:styleId="Heading2">
    <w:name w:val="Heading 2"/>
    <w:basedOn w:val="Normal"/>
    <w:next w:val="Normal"/>
    <w:qFormat/>
    <w:rPr>
      <w:rFonts w:ascii="Calibri" w:cs="Calibri" w:eastAsia="Calibri" w:hAnsi="Calibri"/>
      <w:b/>
      <w:bCs/>
      <w:color w:val="0F3D5C"/>
      <w:sz w:val="24"/>
      <w:szCs w:val="24"/>
    </w:rPr>
  </w:style>
  <w:style w:type="paragraph" w:styleId="Heading3">
    <w:name w:val="Heading 3"/>
    <w:basedOn w:val="Normal"/>
    <w:next w:val="Normal"/>
    <w:qFormat/>
    <w:rPr>
      <w:rFonts w:ascii="Calibri" w:cs="Calibri" w:eastAsia="Calibri" w:hAnsi="Calibri"/>
      <w:b/>
      <w:bCs/>
      <w:color w:val="092A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Cálculo — Zapatas Combinadas Rígidas</dc:title>
  <dc:creator>Vector Estructuras</dc:creator>
  <dc:description>Tensiones sobre el terreno y condición de rigidez</dc:description>
  <cp:lastModifiedBy>Un-named</cp:lastModifiedBy>
  <cp:revision>1</cp:revision>
  <dcterms:created xsi:type="dcterms:W3CDTF">2026-08-03T18:01:42.633Z</dcterms:created>
  <dcterms:modified xsi:type="dcterms:W3CDTF">2026-08-03T18:01:42.633Z</dcterms:modified>
</cp:coreProperties>
</file>

<file path=docProps/custom.xml><?xml version="1.0" encoding="utf-8"?>
<Properties xmlns="http://schemas.openxmlformats.org/officeDocument/2006/custom-properties" xmlns:vt="http://schemas.openxmlformats.org/officeDocument/2006/docPropsVTypes"/>
</file>