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30.png" ContentType="image/png"/>
  <Override PartName="/word/media/rId37.png" ContentType="image/png"/>
  <Override PartName="/word/media/rId33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27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графикам имитации СМО</w:t>
      </w:r>
    </w:p>
    <w:p>
      <w:pPr>
        <w:pStyle w:val="Author"/>
      </w:pPr>
      <w:r>
        <w:t xml:space="preserve">Лобов Михаил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117" w:name="отчет-по-графикам-имитационной-модел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Отчет по графикам имитационной модели</w:t>
      </w:r>
    </w:p>
    <w:p>
      <w:pPr>
        <w:pStyle w:val="FirstParagraph"/>
      </w:pPr>
      <w:r>
        <w:t xml:space="preserve">Данный отчет является результатом серии прогонов (20 репликаций в 1м прогоне), в которых 1 прогон сравнивает 3 значения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(75.0, 86.5, 98.0) при фиксированном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= 1.2.</w:t>
      </w:r>
    </w:p>
    <w:p>
      <w:pPr>
        <w:pStyle w:val="BodyText"/>
      </w:pPr>
      <w:r>
        <w:t xml:space="preserve">Сначана сравнивается 4 распределения времени работы против 1 фиксированного пуассоновского потока входящих заявок, потом наоборот 4 распределения входящего потока заявок против 1 фиксированного времени обслуживания.</w:t>
      </w:r>
    </w:p>
    <w:p>
      <w:pPr>
        <w:pStyle w:val="BodyText"/>
      </w:pPr>
      <w:r>
        <w:t xml:space="preserve">Текущая архитектура является loss системой без очереди и state_dependancy.</w:t>
      </w:r>
    </w:p>
    <w:bookmarkStart w:id="63" w:name="Xbf915b98987d5bde3f473c9839e43863d430a8a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Чувствительность к распределению времени обсулуживания с фиксированным пуассоновским потоком входящих заявок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5525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boxplot_loss_probability_sigma-1p2_lambda-7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5525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boxplot_loss_probability_sigma-1p2_lambda-9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Вероятность отказа оценивается как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A</m:t>
            </m:r>
          </m:den>
        </m:f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- число отказов,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 число попыток поступления.</w:t>
      </w:r>
    </w:p>
    <w:p>
      <w:pPr>
        <w:pStyle w:val="BodyText"/>
      </w:pPr>
      <w:r>
        <w:t xml:space="preserve">Медианы графиков почти совпадают. У Heavy_exp разброс немного шире, чем у остальных т.к. больше вариативность длительности обслуживания.</w:t>
      </w:r>
    </w:p>
    <w:p>
      <w:pPr>
        <w:pStyle w:val="BodyText"/>
      </w:pPr>
      <w:r>
        <w:t xml:space="preserve">Поскольку входной поток пуассоновский, истинные значения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для всех типов распределений должны быть очень близки в силу свойства инвариантности.</w:t>
      </w:r>
    </w:p>
    <w:p>
      <w:pPr>
        <w:pStyle w:val="BodyText"/>
      </w:pPr>
      <w:r>
        <w:t xml:space="preserve">При большом времени моделирования дисперсия такой оценки убывает. Основной эффект дают различия</w:t>
      </w:r>
      <w:r>
        <w:t xml:space="preserve"> </w:t>
      </w:r>
      <m:oMath>
        <m:r>
          <m:t>λ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5525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boxplot_mean_service_time_sigma-1p2_lambda-75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5525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boxplot_mean_service_time_sigma-1p2_lambda-9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Все медианы сосредоточены около 0.8333. У детерминированного workload box почти вырожден в линию.</w:t>
      </w:r>
      <w:r>
        <w:t xml:space="preserve"> </w:t>
      </w:r>
      <w:r>
        <w:t xml:space="preserve">У Erlang-4 разброс маленький, у Exponential чуть шире, у Heavy-tail - самый широкий boxplot.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- объем работы, а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скорость обслуживания, тогда время обслуживания -&gt;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</m:num>
          <m:den>
            <m:r>
              <m:t>σ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При фиксированном среднем объёме работы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получаем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W</m:t>
            </m:r>
            <m:r>
              <m:rPr>
                <m:sty m:val="p"/>
              </m:rPr>
              <m:t>]</m:t>
            </m:r>
          </m:num>
          <m:den>
            <m:r>
              <m:t>σ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1.2</m:t>
            </m:r>
          </m:den>
        </m:f>
        <m:r>
          <m:rPr>
            <m:sty m:val="p"/>
          </m:rPr>
          <m:t>=</m:t>
        </m:r>
        <m:r>
          <m:t>0.8333</m:t>
        </m:r>
        <m:r>
          <m:rPr>
            <m:sty m:val="p"/>
          </m:rPr>
          <m:t>…</m:t>
        </m:r>
      </m:oMath>
    </w:p>
    <w:p>
      <w:pPr>
        <w:pStyle w:val="BodyText"/>
      </w:pPr>
      <w:r>
        <w:t xml:space="preserve">Следовательно, теоретическое среднее время обслуживания одинаково для всех распределений workload. Именно поэтому все boxplot’ы центрируются в одной точке (и будут продолжать центрироваться при большем числе репликаций).</w:t>
      </w:r>
    </w:p>
    <w:p>
      <w:pPr>
        <w:pStyle w:val="BodyText"/>
      </w:pPr>
      <w:r>
        <w:t xml:space="preserve">Разброс по от репликации к репликации обеспечивается разницей в дисперсиях распределений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Var</m:t>
            </m:r>
            <m:r>
              <m:rPr>
                <m:sty m:val="p"/>
              </m:rPr>
              <m:t>(</m:t>
            </m:r>
            <m:r>
              <m:t>W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(0 у детерменированного, небольшая для erlang_4, больше для экспоненциального и довольно большая для гиперэкспоненициального).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5525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boxplot_mean_sojourn_time_sigma-1p2_lambda-7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5525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boxplot_mean_sojourn_time_sigma-1p2_lambda-98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Медианы вновь около</w:t>
      </w:r>
      <w:r>
        <w:t xml:space="preserve"> </w:t>
      </w:r>
      <m:oMath>
        <m:r>
          <m:t>0.8333</m:t>
        </m:r>
      </m:oMath>
      <w:r>
        <w:t xml:space="preserve">.</w:t>
      </w:r>
      <w:r>
        <w:t xml:space="preserve"> </w:t>
      </w:r>
      <w:r>
        <w:t xml:space="preserve">Порядок разбросов тот же: deterministic - почти точка, Erlang-4 - узкий, exponential - шире, heavy-tail - самый широкий.</w:t>
      </w:r>
      <w:r>
        <w:t xml:space="preserve"> </w:t>
      </w:r>
      <w:r>
        <w:t xml:space="preserve">Если ожидание в очереди отсутствует, то для принятой заявки время пребывания в системе равно времени обслуживания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soj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. Следовательно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soj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График для среднего времени пребывания почти повторяет график среднего времени обслуживания.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579295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time_main_metrics_sigma-1p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Все значения в окрестности теоретического уровня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=</m:t>
        </m:r>
        <m:r>
          <m:t>0.8333</m:t>
        </m:r>
      </m:oMath>
      <w:r>
        <w:t xml:space="preserve">; разницы по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почти нет.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776995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delta_from_baseline_sigma-1p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Максимальное отклонение для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98</m:t>
        </m:r>
      </m:oMath>
      <w:r>
        <w:t xml:space="preserve"> </w:t>
      </w:r>
      <w:r>
        <w:t xml:space="preserve">составляет порядка</w:t>
      </w:r>
      <w:r>
        <w:t xml:space="preserve"> </w:t>
      </w:r>
      <m:oMath>
        <m:r>
          <m:t>0.015</m:t>
        </m:r>
      </m:oMath>
      <w:r>
        <w:t xml:space="preserve"> </w:t>
      </w:r>
      <w:r>
        <w:t xml:space="preserve">процентных пункта (абсолютная разница</w:t>
      </w:r>
      <w:r>
        <w:t xml:space="preserve"> </w:t>
      </w:r>
      <m:oMath>
        <m:r>
          <m:rPr>
            <m:sty m:val="p"/>
          </m:rPr>
          <m:t>≈</m:t>
        </m:r>
        <m:r>
          <m:t>0.00015</m:t>
        </m:r>
      </m:oMath>
      <w:r>
        <w:t xml:space="preserve">), т.е. очень мало на фоне самой вероятности отказа в</w:t>
      </w:r>
      <w:r>
        <w:t xml:space="preserve"> </w:t>
      </w:r>
      <m:oMath>
        <m:r>
          <m:t>0.033</m:t>
        </m:r>
      </m:oMath>
      <w:r>
        <w:t xml:space="preserve">.</w:t>
      </w:r>
      <w:r>
        <w:t xml:space="preserve"> </w:t>
      </w:r>
      <w:r>
        <w:t xml:space="preserve">Ненулевые отклонения - это эффект конечного имитационного эксперимента(особенность работы программы).</w:t>
      </w:r>
    </w:p>
    <w:bookmarkStart w:id="36" w:name="X69fd13ad028ea34abba054e6bbe256051d4ea12"/>
    <w:p>
      <w:pPr>
        <w:pStyle w:val="Heading4"/>
      </w:pPr>
      <w:r>
        <w:rPr>
          <w:rStyle w:val="SectionNumber"/>
        </w:rPr>
        <w:t xml:space="preserve">1.1.0.1</w:t>
      </w:r>
      <w:r>
        <w:tab/>
      </w:r>
      <w:r>
        <w:t xml:space="preserve">Влияние распределения времени обслуживания ничтожно мало по сравнению с влиянием уровня нагрузки.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776995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main_metrics_sigma-1p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- вероятность отказа,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- пропускная способность,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число заявок в системе,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- занятый ресурс.</w:t>
      </w:r>
    </w:p>
    <w:p>
      <w:pPr>
        <w:pStyle w:val="BodyText"/>
      </w:pPr>
      <w:r>
        <w:t xml:space="preserve">Пропускная способность определяется по формуле: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98</m:t>
        </m:r>
      </m:oMath>
      <w:r>
        <w:t xml:space="preserve"> </w:t>
      </w:r>
      <w:r>
        <w:t xml:space="preserve">и отказе</w:t>
      </w:r>
      <w:r>
        <w:t xml:space="preserve"> </w:t>
      </w:r>
      <m:oMath>
        <m:r>
          <m:rPr>
            <m:sty m:val="p"/>
          </m:rPr>
          <m:t>≈</m:t>
        </m:r>
        <m:r>
          <m:t>3.3</m:t>
        </m:r>
        <m:r>
          <m:rPr>
            <m:sty m:val="p"/>
          </m:rPr>
          <m:t>%</m:t>
        </m:r>
      </m:oMath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98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0.033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94.8</m:t>
        </m:r>
      </m:oMath>
      <w:r>
        <w:t xml:space="preserve">.</w:t>
      </w:r>
    </w:p>
    <w:p>
      <w:pPr>
        <w:pStyle w:val="BodyText"/>
      </w:pPr>
      <w:r>
        <w:t xml:space="preserve">Число заявок определяется по закону Литла: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θ</m:t>
        </m:r>
        <m:r>
          <m:t>E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98</m:t>
        </m:r>
      </m:oMath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94.8</m:t>
        </m:r>
        <m:r>
          <m:rPr>
            <m:sty m:val="p"/>
          </m:rPr>
          <m:t>⋅</m:t>
        </m:r>
        <m:r>
          <m:t>0.8333</m:t>
        </m:r>
        <m:r>
          <m:rPr>
            <m:sty m:val="p"/>
          </m:rPr>
          <m:t>≈</m:t>
        </m:r>
        <m:r>
          <m:t>79</m:t>
        </m:r>
      </m:oMath>
      <w:r>
        <w:t xml:space="preserve">.</w:t>
      </w:r>
    </w:p>
    <w:p>
      <w:pPr>
        <w:pStyle w:val="BodyText"/>
      </w:pPr>
      <w:r>
        <w:t xml:space="preserve">Средний занятый ресурс: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r>
          <m:t>0.15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(</m:t>
        </m:r>
        <m:r>
          <m:t>0.05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6.5</m:t>
        </m:r>
      </m:oMath>
      <w:r>
        <w:t xml:space="preserve">.</w:t>
      </w:r>
    </w:p>
    <w:p>
      <w:pPr>
        <w:pStyle w:val="BodyText"/>
      </w:pPr>
      <w:r>
        <w:t xml:space="preserve">Таким образом,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Z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t>E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]</m:t>
        </m:r>
      </m:oMath>
      <w:r>
        <w:t xml:space="preserve">. Для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75</m:t>
        </m:r>
      </m:oMath>
      <w:r>
        <w:t xml:space="preserve">:</w:t>
      </w:r>
      <w:r>
        <w:t xml:space="preserve"> </w:t>
      </w:r>
      <m:oMath>
        <m:r>
          <m:t>62.5</m:t>
        </m:r>
        <m:r>
          <m:rPr>
            <m:sty m:val="p"/>
          </m:rPr>
          <m:t>⋅</m:t>
        </m:r>
        <m:r>
          <m:t>6.5</m:t>
        </m:r>
        <m:r>
          <m:rPr>
            <m:sty m:val="p"/>
          </m:rPr>
          <m:t>≈</m:t>
        </m:r>
        <m:r>
          <m:t>406.25</m:t>
        </m:r>
      </m:oMath>
      <w:r>
        <w:t xml:space="preserve"> </w:t>
      </w:r>
      <w:r>
        <w:t xml:space="preserve">(на графике</w:t>
      </w:r>
      <w:r>
        <w:t xml:space="preserve"> </w:t>
      </w:r>
      <m:oMath>
        <m:r>
          <m:rPr>
            <m:sty m:val="p"/>
          </m:rPr>
          <m:t>≈</m:t>
        </m:r>
        <m:r>
          <m:t>405</m:t>
        </m:r>
        <m:r>
          <m:rPr>
            <m:nor/>
            <m:sty m:val="p"/>
          </m:rPr>
          <m:t>–</m:t>
        </m:r>
        <m:r>
          <m:t>407</m:t>
        </m:r>
      </m:oMath>
      <w:r>
        <w:t xml:space="preserve">).</w:t>
      </w:r>
    </w:p>
    <w:bookmarkEnd w:id="36"/>
    <w:bookmarkStart w:id="61" w:name="X602928b35d80b6a66704b8ab2a9adf9c74a14fc"/>
    <w:p>
      <w:pPr>
        <w:pStyle w:val="Heading4"/>
      </w:pPr>
      <w:r>
        <w:rPr>
          <w:rStyle w:val="SectionNumber"/>
        </w:rPr>
        <w:t xml:space="preserve">1.1.0.2</w:t>
      </w:r>
      <w:r>
        <w:tab/>
      </w:r>
      <w:r>
        <w:t xml:space="preserve">При фиксированном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форма распределения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почти не влияет на: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[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16912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loss_probability_bars_by_lambda_sigma-1p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6912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mean_num_jobs_bars_by_lambda_sigma-1p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Данные графики демонстрируют, что на отказ влияет прежде всего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0.0008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r>
          <m:t>86.5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0.008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r>
          <m:t>98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0.033</m:t>
        </m:r>
      </m:oMath>
    </w:p>
    <w:p>
      <w:pPr>
        <w:pStyle w:val="BodyText"/>
      </w:pPr>
      <w:r>
        <w:t xml:space="preserve">Рост сильно нелинейный из-за приближения к ресурсной границе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590</m:t>
        </m:r>
      </m:oMath>
      <w:r>
        <w:t xml:space="preserve">. Благодаря свойству</w:t>
      </w:r>
      <w:r>
        <w:t xml:space="preserve"> </w:t>
      </w:r>
      <w:r>
        <w:rPr>
          <w:b/>
          <w:bCs/>
        </w:rPr>
        <w:t xml:space="preserve">PASTA</w:t>
      </w:r>
      <w:r>
        <w:t xml:space="preserve"> </w:t>
      </w:r>
      <w:r>
        <w:t xml:space="preserve">(</w:t>
      </w:r>
      <w:r>
        <w:rPr>
          <w:i/>
          <w:iCs/>
        </w:rPr>
        <w:t xml:space="preserve">Poisson Arrivals See Time Averages</w:t>
      </w:r>
      <w:r>
        <w:t xml:space="preserve">), вероятность отказа на входе совпадает с долей времени, когда система заблокирована.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5844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rejection_breakdown_sigma-1p2_lambda-7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58444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rejection_breakdown_sigma-1p2_lambda-9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Графики подтверждают, что основной источник отказов -</w:t>
      </w:r>
      <w:r>
        <w:t xml:space="preserve"> </w:t>
      </w:r>
      <w:r>
        <w:rPr>
          <w:b/>
          <w:bCs/>
        </w:rPr>
        <w:t xml:space="preserve">ресурс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, а не количество серверов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Средняя емкость системы по ресурсу:</w:t>
      </w:r>
      <w:r>
        <w:t xml:space="preserve"> </w:t>
      </w:r>
      <m:oMath>
        <m:f>
          <m:fPr>
            <m:type m:val="bar"/>
          </m:fPr>
          <m:num>
            <m:r>
              <m:t>R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590</m:t>
            </m:r>
          </m:num>
          <m:den>
            <m:r>
              <m:t>6.5</m:t>
            </m:r>
          </m:den>
        </m:f>
        <m:r>
          <m:rPr>
            <m:sty m:val="p"/>
          </m:rPr>
          <m:t>≈</m:t>
        </m:r>
        <m:r>
          <m:t>90.8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серверов. Получается что ресурс исчерпывается быстрее.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98</m:t>
        </m:r>
      </m:oMath>
      <w:r>
        <w:t xml:space="preserve"> </w:t>
      </w:r>
      <w:r>
        <w:t xml:space="preserve">средний свободный ресурс составляет всего</w:t>
      </w:r>
      <w:r>
        <w:t xml:space="preserve"> </w:t>
      </w:r>
      <m:oMath>
        <m:r>
          <m:rPr>
            <m:sty m:val="p"/>
          </m:rPr>
          <m:t>≈</m:t>
        </m:r>
        <m:r>
          <m:t>83</m:t>
        </m:r>
      </m:oMath>
      <w:r>
        <w:t xml:space="preserve"> </w:t>
      </w:r>
      <w:r>
        <w:t xml:space="preserve">единицы, но из-за дисперсии возникают состояния, где новой заявке не хватает ресурса (особенно заявкам по 12-16 единиц).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00335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stationary_distribution_sigma-1p2_lambda-7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335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stationary_distribution_sigma-1p2_lambda-9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Стационарные распределения числа заявок почти полностью совпадают для разных типов workload. Получили подтверждение (демонстрацию) свойства инвариантности ресурсных СМО:</w:t>
      </w:r>
    </w:p>
    <w:p>
      <w:pPr>
        <w:pStyle w:val="BodyText"/>
      </w:pPr>
      <w:r>
        <w:rPr>
          <w:b/>
          <w:bCs/>
        </w:rPr>
        <w:t xml:space="preserve">распределение зависит только от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</m:oMath>
      <w:r>
        <w:rPr>
          <w:b/>
          <w:bCs/>
        </w:rPr>
        <w:t xml:space="preserve">, но не от его формы.</w:t>
      </w:r>
      <w:r>
        <w:t xml:space="preserve"> </w:t>
      </w:r>
      <w:r>
        <w:t xml:space="preserve">Изменение коэффициента вариации времени обслуживания от 0 (детерминированное распределение) до повышенного значения heavy-tail при heavy_exp не приводит к существенному изменению стационарного распределения числа обработанных заявок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00484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stationary_tail_sigma-1p2_lambda-7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484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7_231959__workload-sensitivity/plots2/workload_sensitivity_stationary_tail_sigma-1p2_lambda-9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Хвостовые графики показывают вероятность P{N≥k}</w:t>
      </w:r>
    </w:p>
    <w:p>
      <w:pPr>
        <w:pStyle w:val="BodyText"/>
      </w:pPr>
      <w:r>
        <w:t xml:space="preserve">При λ=75 хвост начинает быстро падать при k≈60–65. При λ=98 система гораздо чаще находится в состояниях N≥80 и мы получаем рост отказов.</w:t>
      </w:r>
    </w:p>
    <w:p>
      <w:pPr>
        <w:pStyle w:val="BodyText"/>
      </w:pPr>
      <w:r>
        <w:t xml:space="preserve">Кривые разных workload family почти совпадают, хвостовая характеристика не почти не чувствительна к форме распределения времени обслуживания.</w:t>
      </w:r>
    </w:p>
    <w:p>
      <w:r>
        <w:pict>
          <v:rect style="width:0;height:1.5pt" o:hralign="center" o:hrstd="t" o:hr="t"/>
        </w:pict>
      </w:r>
    </w:p>
    <w:bookmarkEnd w:id="61"/>
    <w:bookmarkStart w:id="62" w:name="X4ea8af0fe09f616bc62a74477bb95197226d924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Вывод по серии: для пуассоновского входящего потока чувствительность к виду распределения времени обслуживания почти отсутствует. Основное влияние оказывает уровень нагрузки</w:t>
      </w:r>
      <w:r>
        <w:t xml:space="preserve"> </w:t>
      </w:r>
      <m:oMath>
        <m:r>
          <m:t>λ</m:t>
        </m:r>
      </m:oMath>
      <w:r>
        <w:t xml:space="preserve">, а не форма распределения</w:t>
      </w:r>
      <w:r>
        <w:t xml:space="preserve"> </w:t>
      </w:r>
      <w:r>
        <w:rPr>
          <w:i/>
          <w:iCs/>
        </w:rPr>
        <w:t xml:space="preserve">workload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116" w:name="Xb55ee551abdc33008cebe8c96f40bc761f6b4ab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Чувствительность к распределению типу входящего потока заявок при фиксированном workload.</w:t>
      </w:r>
    </w:p>
    <w:p>
      <w:pPr>
        <w:pStyle w:val="FirstParagraph"/>
      </w:pPr>
      <w:r>
        <w:drawing>
          <wp:inline>
            <wp:extent cx="5334000" cy="3355258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boxplot_loss_probability_sigma-1p2_lambda-7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55258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boxplot_loss_probability_sigma-1p2_lambda-9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55258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boxplot_mean_service_time_sigma-1p2_lambda-7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5525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boxplot_mean_service_time_sigma-1p2_lambda-9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725076"/>
            <wp:effectExtent b="0" l="0" r="0" t="0"/>
            <wp:docPr descr="" title="fig:" id="77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time_main_metrics_sigma-1p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55258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boxplot_mean_sojourn_time_sigma-1p2_lambda-7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5525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boxplot_mean_sojourn_time_sigma-1p2_lambda-9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Разброс по репликациям мал по сравнению с различиями между потоками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025668"/>
            <wp:effectExtent b="0" l="0" r="0" t="0"/>
            <wp:docPr descr="" title="fig:" id="86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delta_from_baseline_sigma-1p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Этот график показывает чувствительность потому относительно базового пуассоновского распределения.</w:t>
      </w:r>
    </w:p>
    <w:p>
      <w:pPr>
        <w:pStyle w:val="BodyText"/>
      </w:pPr>
      <w:r>
        <w:t xml:space="preserve">Так для Erlang-4 и Erlang-2: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а для HyperExp: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98</m:t>
        </m:r>
      </m:oMath>
      <w:r>
        <w:t xml:space="preserve"> </w:t>
      </w:r>
      <w:r>
        <w:t xml:space="preserve">HyperExp даёт прирост вероятности отказа примерно на</w:t>
      </w:r>
      <w:r>
        <w:t xml:space="preserve"> </w:t>
      </w:r>
      <m:oMath>
        <m:r>
          <m:t>6.5</m:t>
        </m:r>
        <m:r>
          <m:rPr>
            <m:nor/>
            <m:sty m:val="p"/>
          </m:rPr>
          <m:t>–</m:t>
        </m:r>
        <m:r>
          <m:t>7</m:t>
        </m:r>
      </m:oMath>
      <w:r>
        <w:t xml:space="preserve"> </w:t>
      </w:r>
      <w:r>
        <w:t xml:space="preserve">процентных пунктов относительно Poisson.</w:t>
      </w:r>
    </w:p>
    <w:p>
      <w:pPr>
        <w:pStyle w:val="BodyText"/>
      </w:pPr>
      <w:r>
        <w:t xml:space="preserve">По throughput,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Z</m:t>
        </m:r>
        <m:r>
          <m:rPr>
            <m:sty m:val="p"/>
          </m:rPr>
          <m:t>]</m:t>
        </m:r>
      </m:oMath>
      <w:r>
        <w:t xml:space="preserve"> </w:t>
      </w:r>
      <w:r>
        <w:t xml:space="preserve">наоборот Erlang-4 и Erlang-2 дают положительный эффект, а HyperExp даёт отрицательный эффект. Модуль различия растет вместе с</w:t>
      </w:r>
      <w:r>
        <w:t xml:space="preserve"> </w:t>
      </w:r>
      <m:oMath>
        <m:r>
          <m:t>λ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169129"/>
            <wp:effectExtent b="0" l="0" r="0" t="0"/>
            <wp:docPr descr="" title="fig:" id="89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loss_probability_bars_by_lambda_sigma-1p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Данный график показывает порядок потоков по устойчивости: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Erlang-4 (самый устойчивый)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Erlang-2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Poisson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HyperExp (худший)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025668"/>
            <wp:effectExtent b="0" l="0" r="0" t="0"/>
            <wp:docPr descr="" title="fig:" id="92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main_metrics_sigma-1p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Вероятность отказа между распределениями имеет вид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Erlang-4</m:t>
        </m:r>
        <m:r>
          <m:rPr>
            <m:sty m:val="p"/>
          </m:rPr>
          <m:t>)</m:t>
        </m:r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Erlang-2</m:t>
        </m:r>
        <m:r>
          <m:rPr>
            <m:sty m:val="p"/>
          </m:rPr>
          <m:t>)</m:t>
        </m:r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Poisson</m:t>
        </m:r>
        <m:r>
          <m:rPr>
            <m:sty m:val="p"/>
          </m:rPr>
          <m:t>)</m:t>
        </m:r>
        <m:r>
          <m:rPr>
            <m:sty m:val="p"/>
          </m:rPr>
          <m:t>≪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HyperExp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98</m:t>
        </m:r>
      </m:oMath>
      <w:r>
        <w:t xml:space="preserve"> </w:t>
      </w:r>
      <w:r>
        <w:t xml:space="preserve">примерно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Erlang-4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0.012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Erlang-2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0.020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Poisson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0.033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HyperExp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0.100</m:t>
        </m:r>
      </m:oMath>
      <w:r>
        <w:t xml:space="preserve">.</w:t>
      </w:r>
    </w:p>
    <w:p>
      <w:pPr>
        <w:pStyle w:val="BodyText"/>
      </w:pPr>
      <w:r>
        <w:t xml:space="preserve">То есть гиперэкспоненциальный входящий поток даёт примерно трёхкратный рост вероятности отказа относительно Poisson и почти восьмикратный рост относительно Erlang-4.</w:t>
      </w:r>
    </w:p>
    <w:p>
      <w:pPr>
        <w:pStyle w:val="BodyText"/>
      </w:pPr>
      <w:r>
        <w:t xml:space="preserve">Строго пропускная способность связана с потерями как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)</m:t>
        </m:r>
      </m:oMath>
      <w:r>
        <w:t xml:space="preserve">. Так,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98</m:t>
        </m:r>
      </m:oMath>
      <w:r>
        <w:t xml:space="preserve">: пропускная способность по формуле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Poisson</m:t>
            </m:r>
          </m:sub>
        </m:sSub>
        <m:r>
          <m:rPr>
            <m:sty m:val="p"/>
          </m:rPr>
          <m:t>≈</m:t>
        </m:r>
        <m:r>
          <m:t>98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0.033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94.8</m:t>
        </m:r>
        <m:r>
          <m:rPr>
            <m:sty m:val="p"/>
          </m:rPr>
          <m:t>,</m:t>
        </m:r>
      </m:oMath>
      <w:r>
        <w:t xml:space="preserve"> </w:t>
      </w:r>
      <w:r>
        <w:t xml:space="preserve">а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HyperExp</m:t>
            </m:r>
          </m:sub>
        </m:sSub>
        <m:r>
          <m:rPr>
            <m:sty m:val="p"/>
          </m:rPr>
          <m:t>≈</m:t>
        </m:r>
        <m:r>
          <m:t>98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88.2</m:t>
        </m:r>
      </m:oMath>
      <w:r>
        <w:t xml:space="preserve">.</w:t>
      </w:r>
    </w:p>
    <w:p>
      <w:pPr>
        <w:pStyle w:val="BodyText"/>
      </w:pPr>
      <w:r>
        <w:t xml:space="preserve">Это почти совпадает с полученным графиком.</w:t>
      </w:r>
    </w:p>
    <w:p>
      <w:pPr>
        <w:pStyle w:val="BodyText"/>
      </w:pPr>
      <w:r>
        <w:t xml:space="preserve">Среднее число заявок объясняется законом Литтла для принятых заявок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θ</m:t>
        </m:r>
        <m:r>
          <m:t>E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Так как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0.8333</m:t>
        </m:r>
      </m:oMath>
      <w:r>
        <w:t xml:space="preserve">, то для пуассоновского распределения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98</m:t>
        </m:r>
      </m:oMath>
      <w:r>
        <w:t xml:space="preserve"> </w:t>
      </w:r>
      <w:r>
        <w:t xml:space="preserve">получаем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94.8</m:t>
        </m:r>
        <m:r>
          <m:rPr>
            <m:sty m:val="p"/>
          </m:rPr>
          <m:t>⋅</m:t>
        </m:r>
        <m:r>
          <m:t>0.8333</m:t>
        </m:r>
        <m:r>
          <m:rPr>
            <m:sty m:val="p"/>
          </m:rPr>
          <m:t>≈</m:t>
        </m:r>
        <m:r>
          <m:t>79</m:t>
        </m:r>
      </m:oMath>
      <w:r>
        <w:t xml:space="preserve">, а для гиперэкспоненциального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88.2</m:t>
        </m:r>
        <m:r>
          <m:rPr>
            <m:sty m:val="p"/>
          </m:rPr>
          <m:t>⋅</m:t>
        </m:r>
        <m:r>
          <m:t>0.8333</m:t>
        </m:r>
        <m:r>
          <m:rPr>
            <m:sty m:val="p"/>
          </m:rPr>
          <m:t>≈</m:t>
        </m:r>
        <m:r>
          <m:t>73.5</m:t>
        </m:r>
      </m:oMath>
      <w:r>
        <w:t xml:space="preserve">.</w:t>
      </w:r>
    </w:p>
    <w:p>
      <w:pPr>
        <w:pStyle w:val="BodyText"/>
      </w:pPr>
      <w:r>
        <w:t xml:space="preserve">Это тоже совпадает с графиком.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169129"/>
            <wp:effectExtent b="0" l="0" r="0" t="0"/>
            <wp:docPr descr="" title="fig:" id="95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mean_num_jobs_bars_by_lambda_sigma-1p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Данный график показывает среднюю заполненность системы. Системы от самой свободной к самой заполненной: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Erlang-4</m:t>
              </m:r>
            </m:sub>
          </m:sSub>
          <m:r>
            <m:rPr>
              <m:sty m:val="p"/>
            </m:rPr>
            <m:t>&gt;</m:t>
          </m:r>
          <m:r>
            <m:t>E</m:t>
          </m:r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Erlang-2</m:t>
              </m:r>
            </m:sub>
          </m:sSub>
          <m:r>
            <m:rPr>
              <m:sty m:val="p"/>
            </m:rPr>
            <m:t>&gt;</m:t>
          </m:r>
          <m:r>
            <m:t>E</m:t>
          </m:r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Poisson</m:t>
              </m:r>
            </m:sub>
          </m:sSub>
          <m:r>
            <m:rPr>
              <m:sty m:val="p"/>
            </m:rPr>
            <m:t>&gt;</m:t>
          </m:r>
          <m:r>
            <m:t>E</m:t>
          </m:r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HyperExp</m:t>
              </m:r>
            </m:sub>
          </m:sSub>
        </m:oMath>
      </m:oMathPara>
    </w:p>
    <w:p>
      <w:pPr>
        <w:pStyle w:val="FirstParagraph"/>
      </w:pPr>
      <w:r>
        <w:t xml:space="preserve">Стоит учитывать, что при, например, Erlang_4 мы получаем не менее нагруженную систему, а меньше отказов т.к. больше заявок реально попадают в систему. Для гиперэкспоненциального же распределения много заявок теряется во время всплесков активности.</w:t>
      </w:r>
      <w:r>
        <w:t xml:space="preserve"> </w:t>
      </w:r>
      <w:r>
        <w:t xml:space="preserve">Чем больше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, тем меньше эффективная принятая интенсивность: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58444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rejection_breakdown_sigma-1p2_lambda-7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58444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rejection_breakdown_sigma-1p2_lambda-9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данных графиках можно рассмотреть причины возникновения отказов. Основная причина отказов - нехватка ресурса.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003354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stationary_distribution_sigma-1p2_lambda-7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3354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stationary_distribution_sigma-1p2_lambda-9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отличие от распределения времени работы, эти графики демонстрируют значительные различия между видами распределений входящего потока. Так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t xml:space="preserve">Erlang-4 даёт самый узкий пик, а гиперэкспонециальное распределение - самый широкий и приплюснутый. При</w:t>
      </w:r>
      <w:r>
        <w:t xml:space="preserve"> </w:t>
      </w:r>
      <m:oMath>
        <m:r>
          <m:t>λ</m:t>
        </m:r>
      </m:oMath>
      <w:r>
        <w:t xml:space="preserve">=98 различия еще более выраженные.</w:t>
      </w:r>
    </w:p>
    <w:p>
      <w:pPr>
        <w:pStyle w:val="BodyText"/>
      </w:pPr>
      <w:r>
        <w:t xml:space="preserve">Регулярный поток стабилизирует число заявок в системе, а взрывной гиперэкспоненциальный создает перегруженные и недогруженные состояния.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004846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stationary_tail_sigma-1p2_lambda-7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4846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28_100317__arrival-sensitivity/plots/arrival_sensitivity_stationary_tail_sigma-1p2_lambda-9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Данный график показывает хвосты различных распределений (редкие тяжелые события). Так например вероятность того, что при Erlang_4 в системе множество заявок (близко к пределу) почти нулевая. В свою очередь гиперэкспоненциальное распределение может иметь меньшее среднее число заявок, но в правом хвосте он хуже - больше отказов. Для loss-системы такие эпизоды критичны, потому что буфера нет.</w:t>
      </w:r>
    </w:p>
    <w:p>
      <w:r>
        <w:pict>
          <v:rect style="width:0;height:1.5pt" o:hralign="center" o:hrstd="t" o:hr="t"/>
        </w:pict>
      </w:r>
    </w:p>
    <w:bookmarkStart w:id="115" w:name="X457678497183ff1a2b4ce8633869d77122823d9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Вывод: тип входящего потока существенно влияет на ресурсную loss-систему, даже если средняя интенсивность (</w:t>
      </w:r>
      <m:oMath>
        <m:r>
          <m:t>λ</m:t>
        </m:r>
      </m:oMath>
      <w:r>
        <w:t xml:space="preserve">) одинаковая; регулярный поток уменьшает отказы, bursty-поток резко ухудшает систему; чем выше вариативность межприходных интервалов, тем выше вероятность отказа и тем ниже эффективная пропускная способность системы.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27" Target="media/rId27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графикам имитации СМО</dc:title>
  <dc:creator>Лобов Михаил Сергеевич</dc:creator>
  <dc:language>ru-RU</dc:language>
  <cp:keywords/>
  <dcterms:created xsi:type="dcterms:W3CDTF">2026-05-04T13:45:03Z</dcterms:created>
  <dcterms:modified xsi:type="dcterms:W3CDTF">2026-05-04T13:45:03Z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Courier New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