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5.png" ContentType="image/png"/>
  <Override PartName="/word/media/rId62.png" ContentType="image/png"/>
  <Override PartName="/word/media/rId71.png" ContentType="image/png"/>
  <Override PartName="/word/media/rId68.png" ContentType="image/png"/>
  <Override PartName="/word/media/rId77.png" ContentType="image/png"/>
  <Override PartName="/word/media/rId74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5.png" ContentType="image/png"/>
  <Override PartName="/word/media/rId92.png" ContentType="image/png"/>
  <Override PartName="/word/media/rId101.png" ContentType="image/png"/>
  <Override PartName="/word/media/rId98.png" ContentType="image/png"/>
  <Override PartName="/word/media/rId107.png" ContentType="image/png"/>
  <Override PartName="/word/media/rId104.png" ContentType="image/png"/>
  <Override PartName="/word/media/rId110.png" ContentType="image/png"/>
  <Override PartName="/word/media/rId12.png" ContentType="image/png"/>
  <Override PartName="/word/media/rId9.png" ContentType="image/png"/>
  <Override PartName="/word/media/rId18.png" ContentType="image/png"/>
  <Override PartName="/word/media/rId15.png" ContentType="image/png"/>
  <Override PartName="/word/media/rId24.png" ContentType="image/png"/>
  <Override PartName="/word/media/rId21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42.png" ContentType="image/png"/>
  <Override PartName="/word/media/rId39.png" ContentType="image/png"/>
  <Override PartName="/word/media/rId48.png" ContentType="image/png"/>
  <Override PartName="/word/media/rId45.png" ContentType="image/png"/>
  <Override PartName="/word/media/rId54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графикам имитации СМО</w:t>
      </w:r>
    </w:p>
    <w:p>
      <w:pPr>
        <w:pStyle w:val="Author"/>
      </w:pPr>
      <w:r>
        <w:t xml:space="preserve">Лобов Михаил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115" w:name="отчет-по-графикам-имитационной-модели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Отчет по графикам имитационной модели</w:t>
      </w:r>
    </w:p>
    <w:p>
      <w:pPr>
        <w:pStyle w:val="FirstParagraph"/>
      </w:pPr>
      <w:r>
        <w:t xml:space="preserve">Данный отчет является результатом серии прогонов имитационной модели. Рассматриваются три уровня интенсивности поступления заявок: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104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116</m:t>
        </m:r>
      </m:oMath>
      <w:r>
        <w:t xml:space="preserve"> </w:t>
      </w:r>
      <w:r>
        <w:t xml:space="preserve">при фиксированной скорости обслуживания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1.2</m:t>
        </m:r>
      </m:oMath>
      <w:r>
        <w:t xml:space="preserve">.</w:t>
      </w:r>
    </w:p>
    <w:p>
      <w:pPr>
        <w:pStyle w:val="BodyText"/>
      </w:pPr>
      <w:r>
        <w:t xml:space="preserve">Сначала анализируется чувствительность системы к распределению времени обслуживания при фиксированном пуассоновском входящем потоке. Затем рассматривается чувствительность к типу входящего потока при фиксированном детерминированном workload.</w:t>
      </w:r>
    </w:p>
    <w:p>
      <w:pPr>
        <w:pStyle w:val="BodyText"/>
      </w:pPr>
      <w:r>
        <w:t xml:space="preserve">Текущая архитектура является loss-системой без очереди и state dependency. Поэтому заявка либо сразу принимается в систему, либо получает отказ, если ограничение по серверам или ресурсу не позволяет ее разместить.</w:t>
      </w:r>
    </w:p>
    <w:bookmarkStart w:id="61" w:name="X7032caf98abc30c41bbe899adac5e9552564f5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Чувствительность к распределению времени обслуживания при фиксированном пуассоновском входящем потоке</w:t>
      </w:r>
    </w:p>
    <w:p>
      <w:pPr>
        <w:pStyle w:val="FirstParagraph"/>
      </w:pPr>
      <w:r>
        <w:t xml:space="preserve">В этой серии входящий поток фиксирован как пуассоновский, а меняется распределение workload: детерминированное, Erlang-4, экспоненциальное и heavy-tail. Среднее значение workload одинаково для всех распределений.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2613660" cy="1644076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30_150147__workload-sensetivity/plots/workload_sensitivity_boxplot_loss_probability_sigma-1p2_lambda-90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1644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613660" cy="1644076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30_150147__workload-sensetivity/plots/workload_sensitivity_boxplot_loss_probability_sigma-1p2_lambda-116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1644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При фиксированном пуассоновском входящем потоке вероятности отказа для разных распределений workload почти совпадают.</w:t>
      </w:r>
    </w:p>
    <w:p>
      <w:pPr>
        <w:pStyle w:val="BodyText"/>
      </w:pPr>
      <w:r>
        <w:t xml:space="preserve">Для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90</m:t>
        </m:r>
      </m:oMath>
      <w:r>
        <w:t xml:space="preserve"> </w:t>
      </w:r>
      <w:r>
        <w:t xml:space="preserve">все медианы находятся около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loss</m:t>
            </m:r>
          </m:sub>
        </m:sSub>
        <m:r>
          <m:rPr>
            <m:sty m:val="p"/>
          </m:rPr>
          <m:t>≈</m:t>
        </m:r>
        <m:r>
          <m:t>0.0136</m:t>
        </m:r>
      </m:oMath>
      <w:r>
        <w:t xml:space="preserve">. Различия между детерминированным, Erlang-4, экспоненциальным и heavy-tail workload очень малы.</w:t>
      </w:r>
    </w:p>
    <w:p>
      <w:pPr>
        <w:pStyle w:val="BodyText"/>
      </w:pPr>
      <w:r>
        <w:t xml:space="preserve">Для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116</m:t>
        </m:r>
      </m:oMath>
      <w:r>
        <w:t xml:space="preserve"> </w:t>
      </w:r>
      <w:r>
        <w:t xml:space="preserve">вероятность отказа возрастает примерно до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loss</m:t>
            </m:r>
          </m:sub>
        </m:sSub>
        <m:r>
          <m:rPr>
            <m:sty m:val="p"/>
          </m:rPr>
          <m:t>≈</m:t>
        </m:r>
        <m:r>
          <m:t>0.106</m:t>
        </m:r>
      </m:oMath>
      <w:r>
        <w:t xml:space="preserve">, но различия между распределениями времени обслуживания также остаются незначительными.</w:t>
      </w:r>
    </w:p>
    <w:p>
      <w:pPr>
        <w:pStyle w:val="BodyText"/>
      </w:pPr>
      <w:r>
        <w:t xml:space="preserve">Heavy-tail дает более широкий разброс по репликациям, что ожидаемо из-за большей вариативности времени обслуживания. Однако центр распределения почти не меняется.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2613660" cy="1644076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30_150147__workload-sensetivity/plots/workload_sensitivity_boxplot_mean_service_time_sigma-1p2_lambda-90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1644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613660" cy="1644076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30_150147__workload-sensetivity/plots/workload_sensitivity_boxplot_mean_service_time_sigma-1p2_lambda-116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1644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Все распределения workload имеют одинаковое среднее значение работы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 При скорости обслуживания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1.2</m:t>
        </m:r>
      </m:oMath>
      <w:r>
        <w:t xml:space="preserve"> </w:t>
      </w:r>
      <w:r>
        <w:t xml:space="preserve">среднее время обслуживания равно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S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r>
                <m:rPr>
                  <m:sty m:val="p"/>
                </m:rPr>
                <m:t>[</m:t>
              </m:r>
              <m:r>
                <m:t>W</m:t>
              </m:r>
              <m:r>
                <m:rPr>
                  <m:sty m:val="p"/>
                </m:rPr>
                <m:t>]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1.2</m:t>
              </m:r>
            </m:den>
          </m:f>
          <m:r>
            <m:rPr>
              <m:sty m:val="p"/>
            </m:rPr>
            <m:t>≈</m:t>
          </m:r>
          <m:r>
            <m:t>0.8333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Поэтому все boxplot’ы центрируются около</w:t>
      </w:r>
      <w:r>
        <w:t xml:space="preserve"> </w:t>
      </w:r>
      <m:oMath>
        <m:r>
          <m:t>0.8333</m:t>
        </m:r>
      </m:oMath>
      <w:r>
        <w:t xml:space="preserve">.</w:t>
      </w:r>
    </w:p>
    <w:p>
      <w:pPr>
        <w:pStyle w:val="BodyText"/>
      </w:pPr>
      <w:r>
        <w:t xml:space="preserve">Детерминированный workload почти не имеет разброса. Erlang-4 дает небольшой разброс, экспоненциальное распределение — больше, а heavy-tail — самый широкий разброс.</w:t>
      </w:r>
    </w:p>
    <w:p>
      <w:pPr>
        <w:pStyle w:val="BodyText"/>
      </w:pPr>
      <w:r>
        <w:t xml:space="preserve">Различие между распределениями проявляется не в среднем значении, а в дисперсии времени обслуживания.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2613660" cy="1644076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30_150147__workload-sensetivity/plots/workload_sensitivity_boxplot_mean_sojourn_time_sigma-1p2_lambda-90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1644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613660" cy="1644076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30_150147__workload-sensetivity/plots/workload_sensitivity_boxplot_mean_sojourn_time_sigma-1p2_lambda-116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1644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Так как рассматривается loss-система без очереди, для принятой заявки время пребывания в системе совпадает со временем обслуживания: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soj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Следовательно,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soj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r>
            <m:t>S</m:t>
          </m:r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>
            <m:t>0.8333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Поэтому графики среднего времени пребывания почти полностью повторяют графики среднего времени обслуживания.</w:t>
      </w:r>
    </w:p>
    <w:p>
      <w:pPr>
        <w:pStyle w:val="BodyText"/>
      </w:pPr>
      <w:r>
        <w:t xml:space="preserve">Heavy-tail снова дает самый большой разброс, но среднее значение остается тем же.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2776995"/>
            <wp:effectExtent b="0" l="0" r="0" t="0"/>
            <wp:docPr descr="" title="fig:" id="28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30_150147__workload-sensetivity/plots/workload_sensitivity_delta_from_baseline_sigma-1p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6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отклонений показывает, что различия относительно детерминированного workload очень малы.</w:t>
      </w:r>
    </w:p>
    <w:p>
      <w:pPr>
        <w:pStyle w:val="BodyText"/>
      </w:pPr>
      <w:r>
        <w:t xml:space="preserve">Для вероятности отказа отклонения находятся на уровне тысячных или даже меньших значений. Это означает, что форма распределения времени обслуживания практически не влияет на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loss</m:t>
            </m:r>
          </m:sub>
        </m:sSub>
      </m:oMath>
      <w:r>
        <w:t xml:space="preserve"> </w:t>
      </w:r>
      <w:r>
        <w:t xml:space="preserve">при пуассоновском входящем потоке.</w:t>
      </w:r>
    </w:p>
    <w:p>
      <w:pPr>
        <w:pStyle w:val="BodyText"/>
      </w:pPr>
      <w:r>
        <w:t xml:space="preserve">Для пропускной способности, среднего числа заявок и среднего занятого ресурса отклонения также близки к нулю. Наблюдаемые колебания являются эффектом конечного имитационного эксперимента.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169129"/>
            <wp:effectExtent b="0" l="0" r="0" t="0"/>
            <wp:docPr descr="" title="fig:" id="31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30_150147__workload-sensetivity/plots/workload_sensitivity_loss_probability_bars_by_lambda_sigma-1p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9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Вероятность отказа определяется прежде всего уровнем нагрузки</w:t>
      </w:r>
      <w:r>
        <w:t xml:space="preserve"> </w:t>
      </w:r>
      <m:oMath>
        <m:r>
          <m:t>λ</m:t>
        </m:r>
      </m:oMath>
      <w:r>
        <w:t xml:space="preserve">, а не формой распределения workload.</w:t>
      </w:r>
    </w:p>
    <w:p>
      <w:pPr>
        <w:pStyle w:val="BodyText"/>
      </w:pPr>
      <w:r>
        <w:t xml:space="preserve">При увеличении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вероятность отказа резко возрастает: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loss</m:t>
              </m:r>
            </m:sub>
          </m:sSub>
          <m:r>
            <m:rPr>
              <m:sty m:val="p"/>
            </m:rPr>
            <m:t>(</m:t>
          </m:r>
          <m:r>
            <m:t>90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0.0136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loss</m:t>
              </m:r>
            </m:sub>
          </m:sSub>
          <m:r>
            <m:rPr>
              <m:sty m:val="p"/>
            </m:rPr>
            <m:t>(</m:t>
          </m:r>
          <m:r>
            <m:t>104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0.054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loss</m:t>
              </m:r>
            </m:sub>
          </m:sSub>
          <m:r>
            <m:rPr>
              <m:sty m:val="p"/>
            </m:rPr>
            <m:t>(</m:t>
          </m:r>
          <m:r>
            <m:t>116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0.106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всех распределений workload столбцы почти совпадают. Это подтверждает, что при пуассоновском входящем потоке система практически нечувствительна к форме распределения времени обслуживания, если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фиксировано.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2776995"/>
            <wp:effectExtent b="0" l="0" r="0" t="0"/>
            <wp:docPr descr="" title="fig:" id="34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30_150147__workload-sensetivity/plots/workload_sensitivity_main_metrics_sigma-1p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6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основных метрик показывает, что все workload-распределения дают почти одинаковые значения вероятности отказа, пропускной способности, среднего числа заявок и среднего занятого ресурса.</w:t>
      </w:r>
    </w:p>
    <w:p>
      <w:pPr>
        <w:pStyle w:val="BodyText"/>
      </w:pPr>
      <w:r>
        <w:t xml:space="preserve">Пропускная способность определяется как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loss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 как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loss</m:t>
            </m:r>
          </m:sub>
        </m:sSub>
      </m:oMath>
      <w:r>
        <w:t xml:space="preserve"> </w:t>
      </w:r>
      <w:r>
        <w:t xml:space="preserve">почти одинаков для всех workload, то и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почти не зависит от формы распределения времени обслуживания.</w:t>
      </w:r>
    </w:p>
    <w:p>
      <w:pPr>
        <w:pStyle w:val="BodyText"/>
      </w:pPr>
      <w:r>
        <w:t xml:space="preserve">Среднее число заявок объясняется законом Литтла: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>
            <m:t>θ</m:t>
          </m:r>
          <m:r>
            <m:t>E</m:t>
          </m:r>
          <m:r>
            <m:rPr>
              <m:sty m:val="p"/>
            </m:rPr>
            <m:t>[</m:t>
          </m:r>
          <m:r>
            <m:t>S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Поскольку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≈</m:t>
        </m:r>
        <m:r>
          <m:t>0.8333</m:t>
        </m:r>
      </m:oMath>
      <w:r>
        <w:t xml:space="preserve"> </w:t>
      </w:r>
      <w:r>
        <w:t xml:space="preserve">одинаково для всех workload, среднее число заявок также почти совпадает.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169129"/>
            <wp:effectExtent b="0" l="0" r="0" t="0"/>
            <wp:docPr descr="" title="fig:" id="37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30_150147__workload-sensetivity/plots/workload_sensitivity_mean_num_jobs_bars_by_lambda_sigma-1p2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9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Среднее число заявок растет с увеличением</w:t>
      </w:r>
      <w:r>
        <w:t xml:space="preserve"> </w:t>
      </w:r>
      <m:oMath>
        <m:r>
          <m:t>λ</m:t>
        </m:r>
      </m:oMath>
      <w:r>
        <w:t xml:space="preserve">, но почти не меняется при смене распределения workload.</w:t>
      </w:r>
    </w:p>
    <w:p>
      <w:pPr>
        <w:pStyle w:val="BodyText"/>
      </w:pPr>
      <w:r>
        <w:t xml:space="preserve">Для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90</m:t>
        </m:r>
      </m:oMath>
      <w:r>
        <w:t xml:space="preserve"> </w:t>
      </w:r>
      <w:r>
        <w:t xml:space="preserve">среднее число заявок находится около</w:t>
      </w:r>
      <w:r>
        <w:t xml:space="preserve"> </w:t>
      </w:r>
      <m:oMath>
        <m:r>
          <m:t>74</m:t>
        </m:r>
      </m:oMath>
      <w:r>
        <w:t xml:space="preserve">. Для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104</m:t>
        </m:r>
      </m:oMath>
      <w:r>
        <w:t xml:space="preserve"> </w:t>
      </w:r>
      <w:r>
        <w:t xml:space="preserve">— около</w:t>
      </w:r>
      <w:r>
        <w:t xml:space="preserve"> </w:t>
      </w:r>
      <m:oMath>
        <m:r>
          <m:t>82</m:t>
        </m:r>
      </m:oMath>
      <w:r>
        <w:t xml:space="preserve">. Для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116</m:t>
        </m:r>
      </m:oMath>
      <w:r>
        <w:t xml:space="preserve"> </w:t>
      </w:r>
      <w:r>
        <w:t xml:space="preserve">— около</w:t>
      </w:r>
      <w:r>
        <w:t xml:space="preserve"> </w:t>
      </w:r>
      <m:oMath>
        <m:r>
          <m:t>86.3</m:t>
        </m:r>
      </m:oMath>
      <w:r>
        <w:t xml:space="preserve">.</w:t>
      </w:r>
    </w:p>
    <w:p>
      <w:pPr>
        <w:pStyle w:val="BodyText"/>
      </w:pPr>
      <w:r>
        <w:t xml:space="preserve">Различия между deterministic, Erlang-4, exponential и heavy-tail практически отсутствуют. Это показывает, что средняя заполненность системы определяется нагрузкой, а не формой распределения времени обслуживания.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2613660" cy="1645637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30_150147__workload-sensetivity/plots/workload_sensitivity_rejection_breakdown_sigma-1p2_lambda-90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1645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613660" cy="1645637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30_150147__workload-sensetivity/plots/workload_sensitivity_rejection_breakdown_sigma-1p2_lambda-11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1645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Графики структуры отказов показывают, что основной причиной отказов является нехватка ресурса</w:t>
      </w:r>
      <w:r>
        <w:t xml:space="preserve"> </w:t>
      </w:r>
      <m:oMath>
        <m:r>
          <m:t>R</m:t>
        </m:r>
      </m:oMath>
      <w:r>
        <w:t xml:space="preserve">, а не ограничение по числу серверов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Для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90</m:t>
        </m:r>
      </m:oMath>
      <w:r>
        <w:t xml:space="preserve"> </w:t>
      </w:r>
      <w:r>
        <w:t xml:space="preserve">число отказов заметно меньше, чем для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116</m:t>
        </m:r>
      </m:oMath>
      <w:r>
        <w:t xml:space="preserve">. При росте нагрузки число отказов по ресурсу резко увеличивается.</w:t>
      </w:r>
    </w:p>
    <w:p>
      <w:pPr>
        <w:pStyle w:val="BodyText"/>
      </w:pPr>
      <w:r>
        <w:t xml:space="preserve">При этом различия между workload-распределениями почти отсутствуют: все варианты дают практически одинаковую структуру отказов.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2613660" cy="1471643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30_150147__workload-sensetivity/plots/workload_sensitivity_stationary_distribution_sigma-1p2_lambda-90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1471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613660" cy="1471643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30_150147__workload-sensetivity/plots/workload_sensitivity_stationary_distribution_sigma-1p2_lambda-11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1471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Стационарные распределения числа заявок для разных workload почти полностью совпадают.</w:t>
      </w:r>
    </w:p>
    <w:p>
      <w:pPr>
        <w:pStyle w:val="BodyText"/>
      </w:pPr>
      <w:r>
        <w:t xml:space="preserve">Это демонстрирует свойство инвариантности для рассматриваемой ресурсной loss-системы при пуассоновском входящем потоке: стационарное распределение зависит в первую очередь от среднего времени обслуживания, но почти не зависит от формы его распределения.</w:t>
      </w:r>
    </w:p>
    <w:p>
      <w:pPr>
        <w:pStyle w:val="BodyText"/>
      </w:pPr>
      <w:r>
        <w:t xml:space="preserve">При переходе от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90</m:t>
        </m:r>
      </m:oMath>
      <w:r>
        <w:t xml:space="preserve"> </w:t>
      </w:r>
      <w:r>
        <w:t xml:space="preserve">к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116</m:t>
        </m:r>
      </m:oMath>
      <w:r>
        <w:t xml:space="preserve"> </w:t>
      </w:r>
      <w:r>
        <w:t xml:space="preserve">распределение сдвигается вправо, то есть система чаще находится в состояниях с большим числом заявок.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2613660" cy="1472374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30_150147__workload-sensetivity/plots/workload_sensitivity_stationary_tail_sigma-1p2_lambda-9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1472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613660" cy="1472374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30_150147__workload-sensetivity/plots/workload_sensitivity_stationary_tail_sigma-1p2_lambda-116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1472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Хвостовые графики показывают вероятность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{</m:t>
          </m:r>
          <m:r>
            <m:t>N</m:t>
          </m:r>
          <m:r>
            <m:rPr>
              <m:sty m:val="p"/>
            </m:rPr>
            <m:t>≥</m:t>
          </m:r>
          <m:r>
            <m:t>k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Кривые для разных workload практически совпадают. Это значит, что вероятность перегрузочных состояний почти не зависит от формы распределения времени обслуживания.</w:t>
      </w:r>
    </w:p>
    <w:p>
      <w:pPr>
        <w:pStyle w:val="BodyText"/>
      </w:pPr>
      <w:r>
        <w:t xml:space="preserve">При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116</m:t>
        </m:r>
      </m:oMath>
      <w:r>
        <w:t xml:space="preserve"> </w:t>
      </w:r>
      <w:r>
        <w:t xml:space="preserve">хвост сдвигается вправо по сравнению с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90</m:t>
        </m:r>
      </m:oMath>
      <w:r>
        <w:t xml:space="preserve">: система чаще находится около ресурсной границы, поэтому вероятность отказа становится выше.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1579295"/>
            <wp:effectExtent b="0" l="0" r="0" t="0"/>
            <wp:docPr descr="" title="fig:" id="58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30_150147__workload-sensetivity/plots/workload_sensitivity_time_main_metrics_sigma-1p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9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Среднее время обслуживания и среднее время пребывания остаются около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=</m:t>
          </m:r>
          <m:r>
            <m:t>0.8333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Эти метрики почти не зависят от</w:t>
      </w:r>
      <w:r>
        <w:t xml:space="preserve"> </w:t>
      </w:r>
      <m:oMath>
        <m:r>
          <m:t>λ</m:t>
        </m:r>
      </m:oMath>
      <w:r>
        <w:t xml:space="preserve">, потому что скорость обслуживания фиксирована, а средний workload одинаков для всех распределений.</w:t>
      </w:r>
    </w:p>
    <w:p>
      <w:pPr>
        <w:pStyle w:val="BodyText"/>
      </w:pPr>
      <w:r>
        <w:t xml:space="preserve">Различия проявляются только в разбросе: deterministic почти не имеет разброса, Erlang-4 имеет небольшой разброс, exponential — больше, heavy-tail — максимальный.</w:t>
      </w:r>
    </w:p>
    <w:bookmarkStart w:id="60" w:name="вывод-по-серии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Вывод по серии</w:t>
      </w:r>
    </w:p>
    <w:p>
      <w:pPr>
        <w:pStyle w:val="FirstParagraph"/>
      </w:pPr>
      <w:r>
        <w:t xml:space="preserve">При пуассоновском входящем потоке форма распределения времени обслуживания почти не влияет на основные характеристики ресурсной loss-системы.</w:t>
      </w:r>
    </w:p>
    <w:p>
      <w:pPr>
        <w:pStyle w:val="BodyText"/>
      </w:pPr>
      <w:r>
        <w:t xml:space="preserve">Вероятность отказа, пропускная способность, среднее число заявок, средний занятый ресурс и стационарное распределение почти полностью определяются уровнем нагрузки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и средним временем обслуживания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, а не дисперсией workload.</w:t>
      </w:r>
    </w:p>
    <w:p>
      <w:pPr>
        <w:pStyle w:val="BodyText"/>
      </w:pPr>
      <w:r>
        <w:t xml:space="preserve">Основное влияние оказывает рост</w:t>
      </w:r>
      <w:r>
        <w:t xml:space="preserve"> </w:t>
      </w:r>
      <m:oMath>
        <m:r>
          <m:t>λ</m:t>
        </m:r>
      </m:oMath>
      <w:r>
        <w:t xml:space="preserve">: при переходе от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90</m:t>
        </m:r>
      </m:oMath>
      <w:r>
        <w:t xml:space="preserve"> </w:t>
      </w:r>
      <w:r>
        <w:t xml:space="preserve">к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116</m:t>
        </m:r>
      </m:oMath>
      <w:r>
        <w:t xml:space="preserve"> </w:t>
      </w:r>
      <w:r>
        <w:t xml:space="preserve">система чаще приближается к ресурсной границе, поэтому вероятность отказа резко возрастает.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114" w:name="Xf57808916c8494e8392ededc5c72a6ba6dcb555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Чувствительность к типу входящего потока при фиксированном workload</w:t>
      </w:r>
    </w:p>
    <w:p>
      <w:pPr>
        <w:pStyle w:val="FirstParagraph"/>
      </w:pPr>
      <w:r>
        <w:t xml:space="preserve">В этой серии workload фиксирован как детерминированный, а меняется тип входящего потока: Poisson, Erlang-4, Erlang-2 и HyperExp. Средняя интенсивность поступления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фиксируется внутри каждого сравнения.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2613660" cy="1644076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30_144450__arrival-sensetivity/plots/arrival_sensitivity_boxplot_loss_probability_sigma-1p2_lambda-9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1644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613660" cy="1644076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30_144450__arrival-sensetivity/plots/arrival_sensitivity_boxplot_loss_probability_sigma-1p2_lambda-116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1644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При фиксированном детерминированном workload порядок по вероятности отказа сохраняется для всех уровней нагрузки: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loss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Erlang-4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loss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Erlang-2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loss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Poisson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loss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HyperExp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90</m:t>
        </m:r>
      </m:oMath>
      <w:r>
        <w:t xml:space="preserve"> </w:t>
      </w:r>
      <w:r>
        <w:t xml:space="preserve">различия уже заметны: Erlang-4 дает минимальную вероятность отказа около</w:t>
      </w:r>
      <w:r>
        <w:t xml:space="preserve"> </w:t>
      </w:r>
      <m:oMath>
        <m:r>
          <m:t>0.0024</m:t>
        </m:r>
      </m:oMath>
      <w:r>
        <w:t xml:space="preserve">, Poisson около</w:t>
      </w:r>
      <w:r>
        <w:t xml:space="preserve"> </w:t>
      </w:r>
      <m:oMath>
        <m:r>
          <m:t>0.0136</m:t>
        </m:r>
      </m:oMath>
      <w:r>
        <w:t xml:space="preserve">, а HyperExp около</w:t>
      </w:r>
      <w:r>
        <w:t xml:space="preserve"> </w:t>
      </w:r>
      <m:oMath>
        <m:r>
          <m:t>0.0698</m:t>
        </m:r>
      </m:oMath>
      <w:r>
        <w:t xml:space="preserve">.</w:t>
      </w:r>
    </w:p>
    <w:p>
      <w:pPr>
        <w:pStyle w:val="BodyText"/>
      </w:pPr>
      <w:r>
        <w:t xml:space="preserve">При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116</m:t>
        </m:r>
      </m:oMath>
      <w:r>
        <w:t xml:space="preserve"> </w:t>
      </w:r>
      <w:r>
        <w:t xml:space="preserve">все вероятности отказа возрастают: Erlang-4 около</w:t>
      </w:r>
      <w:r>
        <w:t xml:space="preserve"> </w:t>
      </w:r>
      <m:oMath>
        <m:r>
          <m:t>0.0765</m:t>
        </m:r>
      </m:oMath>
      <w:r>
        <w:t xml:space="preserve">, Erlang-2 около</w:t>
      </w:r>
      <w:r>
        <w:t xml:space="preserve"> </w:t>
      </w:r>
      <m:oMath>
        <m:r>
          <m:t>0.0881</m:t>
        </m:r>
      </m:oMath>
      <w:r>
        <w:t xml:space="preserve">, Poisson около</w:t>
      </w:r>
      <w:r>
        <w:t xml:space="preserve"> </w:t>
      </w:r>
      <m:oMath>
        <m:r>
          <m:t>0.1062</m:t>
        </m:r>
      </m:oMath>
      <w:r>
        <w:t xml:space="preserve">, HyperExp около</w:t>
      </w:r>
      <w:r>
        <w:t xml:space="preserve"> </w:t>
      </w:r>
      <m:oMath>
        <m:r>
          <m:t>0.1761</m:t>
        </m:r>
      </m:oMath>
      <w:r>
        <w:t xml:space="preserve">.</w:t>
      </w:r>
    </w:p>
    <w:p>
      <w:pPr>
        <w:pStyle w:val="BodyText"/>
      </w:pPr>
      <w:r>
        <w:t xml:space="preserve">Разброс внутри репликаций мал по сравнению с различиями между типами входящего потока. Это показывает, что основной эффект связан именно с формой потока, а не со случайным шумом имитационного эксперимента.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2613660" cy="1644076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30_144450__arrival-sensetivity/plots/arrival_sensitivity_boxplot_mean_service_time_sigma-1p2_lambda-90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1644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613660" cy="1644076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30_144450__arrival-sensetivity/plots/arrival_sensitivity_boxplot_mean_service_time_sigma-1p2_lambda-116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1644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Среднее время обслуживания практически не зависит от типа входящего потока.</w:t>
      </w:r>
    </w:p>
    <w:p>
      <w:pPr>
        <w:pStyle w:val="BodyText"/>
      </w:pPr>
      <w:r>
        <w:t xml:space="preserve">Так как workload фиксирован как детерминированный, а скорость обслуживания равна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1.2</m:t>
        </m:r>
      </m:oMath>
      <w:r>
        <w:t xml:space="preserve">, теоретическое среднее время обслуживания равно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S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1.2</m:t>
              </m:r>
            </m:den>
          </m:f>
          <m:r>
            <m:rPr>
              <m:sty m:val="p"/>
            </m:rPr>
            <m:t>≈</m:t>
          </m:r>
          <m:r>
            <m:t>0.8333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Все boxplot’ы сосредоточены около этого значения. Небольшие визуальные отличия являются эффектом конечного числа наблюдений и масштаба оси.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2613660" cy="1644076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30_144450__arrival-sensetivity/plots/arrival_sensitivity_boxplot_mean_sojourn_time_sigma-1p2_lambda-90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1644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613660" cy="1644076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30_144450__arrival-sensetivity/plots/arrival_sensitivity_boxplot_mean_sojourn_time_sigma-1p2_lambda-116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1644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Поскольку система является loss-системой без очереди, для принятой заявки время пребывания в системе совпадает со временем обслуживания: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soj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Следовательно,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soj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r>
            <m:t>S</m:t>
          </m:r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>
            <m:t>0.8333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Поэтому графики среднего времени пребывания почти полностью повторяют графики среднего времени обслуживания. Тип входящего потока влияет на вероятность попадания заявки в систему, но не меняет время обслуживания уже принятой заявки.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025668"/>
            <wp:effectExtent b="0" l="0" r="0" t="0"/>
            <wp:docPr descr="" title="fig:" id="81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30_144450__arrival-sensetivity/plots/arrival_sensitivity_delta_from_baseline_sigma-1p2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5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показывает чувствительность метрик относительно базового пуассоновского потока.</w:t>
      </w:r>
    </w:p>
    <w:p>
      <w:pPr>
        <w:pStyle w:val="BodyText"/>
      </w:pPr>
      <w:r>
        <w:t xml:space="preserve">Для Erlang-4 и Erlang-2 отклонение вероятности отказа отрицательное: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loss</m:t>
              </m:r>
            </m:sub>
          </m:sSub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Это означает, что более регулярный входящий поток снижает вероятность отказа относительно Poisson.</w:t>
      </w:r>
    </w:p>
    <w:p>
      <w:pPr>
        <w:pStyle w:val="BodyText"/>
      </w:pPr>
      <w:r>
        <w:t xml:space="preserve">Для HyperExp отклонение положительное: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loss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90</m:t>
        </m:r>
      </m:oMath>
      <w:r>
        <w:t xml:space="preserve"> </w:t>
      </w:r>
      <w:r>
        <w:t xml:space="preserve">HyperExp увеличивает вероятность отказа примерно на</w:t>
      </w:r>
      <w:r>
        <w:t xml:space="preserve"> </w:t>
      </w:r>
      <m:oMath>
        <m:r>
          <m:t>5.6</m:t>
        </m:r>
      </m:oMath>
      <w:r>
        <w:t xml:space="preserve"> </w:t>
      </w:r>
      <w:r>
        <w:t xml:space="preserve">процентных пункта относительно Poisson. При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104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116</m:t>
        </m:r>
      </m:oMath>
      <w:r>
        <w:t xml:space="preserve"> </w:t>
      </w:r>
      <w:r>
        <w:t xml:space="preserve">прирост составляет примерно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процентных пунктов.</w:t>
      </w:r>
    </w:p>
    <w:p>
      <w:pPr>
        <w:pStyle w:val="BodyText"/>
      </w:pPr>
      <w:r>
        <w:t xml:space="preserve">По пропускной способности, среднему числу заявок и среднему занятому ресурсу наблюдается обратная картина: Erlang-4 и Erlang-2 дают положительный эффект, а HyperExp — отрицательный. Чем выше</w:t>
      </w:r>
      <w:r>
        <w:t xml:space="preserve"> </w:t>
      </w:r>
      <m:oMath>
        <m:r>
          <m:t>λ</m:t>
        </m:r>
      </m:oMath>
      <w:r>
        <w:t xml:space="preserve">, тем сильнее проявляется различие между потоками.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169129"/>
            <wp:effectExtent b="0" l="0" r="0" t="0"/>
            <wp:docPr descr="" title="fig:" id="84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30_144450__arrival-sensetivity/plots/arrival_sensitivity_loss_probability_bars_by_lambda_sigma-1p2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9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Вероятность отказа возрастает при увеличении</w:t>
      </w:r>
      <w:r>
        <w:t xml:space="preserve"> </w:t>
      </w:r>
      <m:oMath>
        <m:r>
          <m:t>λ</m:t>
        </m:r>
      </m:oMath>
      <w:r>
        <w:t xml:space="preserve">, причем рост нелинейный.</w:t>
      </w:r>
    </w:p>
    <w:p>
      <w:pPr>
        <w:pStyle w:val="BodyText"/>
      </w:pPr>
      <w:r>
        <w:t xml:space="preserve">Для всех уровней нагрузки порядок потоков остается одинаковым: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Erlang-4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Erlang-2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Poisson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HyperExp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Erlang-4 является наиболее устойчивым потоком, так как межприходные интервалы более регулярны. HyperExp является худшим вариантом, так как создает всплески поступления заявок.</w:t>
      </w:r>
    </w:p>
    <w:p>
      <w:pPr>
        <w:pStyle w:val="BodyText"/>
      </w:pPr>
      <w:r>
        <w:t xml:space="preserve">При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116</m:t>
        </m:r>
      </m:oMath>
      <w:r>
        <w:t xml:space="preserve"> </w:t>
      </w:r>
      <w:r>
        <w:t xml:space="preserve">вероятность отказа для HyperExp достигает примерно</w:t>
      </w:r>
      <w:r>
        <w:t xml:space="preserve"> </w:t>
      </w:r>
      <m:oMath>
        <m:r>
          <m:t>0.176</m:t>
        </m:r>
      </m:oMath>
      <w:r>
        <w:t xml:space="preserve">, тогда как для Poisson она около</w:t>
      </w:r>
      <w:r>
        <w:t xml:space="preserve"> </w:t>
      </w:r>
      <m:oMath>
        <m:r>
          <m:t>0.106</m:t>
        </m:r>
      </m:oMath>
      <w:r>
        <w:t xml:space="preserve">, а для Erlang-4 около</w:t>
      </w:r>
      <w:r>
        <w:t xml:space="preserve"> </w:t>
      </w:r>
      <m:oMath>
        <m:r>
          <m:t>0.0765</m:t>
        </m:r>
      </m:oMath>
      <w:r>
        <w:t xml:space="preserve">. То есть bursty-поток существенно ухудшает работу loss-системы.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025668"/>
            <wp:effectExtent b="0" l="0" r="0" t="0"/>
            <wp:docPr descr="" title="fig:" id="87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30_144450__arrival-sensetivity/plots/arrival_sensitivity_main_metrics_sigma-1p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5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основных метрик показывает, что тип входящего потока влияет не только на вероятность отказа, но и на пропускную способность, среднее число заявок и средний занятый ресурс.</w:t>
      </w:r>
    </w:p>
    <w:p>
      <w:pPr>
        <w:pStyle w:val="BodyText"/>
      </w:pPr>
      <w:r>
        <w:t xml:space="preserve">Пропускная способность связана с вероятностью отказа формулой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loss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Поэтому при одинаковом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поток с меньшей вероятностью отказа имеет большую эффективную пропускную способность.</w:t>
      </w:r>
    </w:p>
    <w:p>
      <w:pPr>
        <w:pStyle w:val="BodyText"/>
      </w:pPr>
      <w:r>
        <w:t xml:space="preserve">При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116</m:t>
        </m:r>
      </m:oMath>
      <w:r>
        <w:t xml:space="preserve">: для Erlang-4</w:t>
      </w:r>
      <w:r>
        <w:t xml:space="preserve"> </w:t>
      </w:r>
      <m:oMath>
        <m:r>
          <m:t>θ</m:t>
        </m:r>
        <m:r>
          <m:rPr>
            <m:sty m:val="p"/>
          </m:rPr>
          <m:t>≈</m:t>
        </m:r>
        <m:r>
          <m:t>107.1</m:t>
        </m:r>
      </m:oMath>
      <w:r>
        <w:t xml:space="preserve">, для Poisson</w:t>
      </w:r>
      <w:r>
        <w:t xml:space="preserve"> </w:t>
      </w:r>
      <m:oMath>
        <m:r>
          <m:t>θ</m:t>
        </m:r>
        <m:r>
          <m:rPr>
            <m:sty m:val="p"/>
          </m:rPr>
          <m:t>≈</m:t>
        </m:r>
        <m:r>
          <m:t>103.7</m:t>
        </m:r>
      </m:oMath>
      <w:r>
        <w:t xml:space="preserve">, а для HyperExp</w:t>
      </w:r>
      <w:r>
        <w:t xml:space="preserve"> </w:t>
      </w:r>
      <m:oMath>
        <m:r>
          <m:t>θ</m:t>
        </m:r>
        <m:r>
          <m:rPr>
            <m:sty m:val="p"/>
          </m:rPr>
          <m:t>≈</m:t>
        </m:r>
        <m:r>
          <m:t>95.6</m:t>
        </m:r>
      </m:oMath>
      <w:r>
        <w:t xml:space="preserve">.</w:t>
      </w:r>
    </w:p>
    <w:p>
      <w:pPr>
        <w:pStyle w:val="BodyText"/>
      </w:pPr>
      <w:r>
        <w:t xml:space="preserve">Среднее число заявок объясняется законом Литтла для принятых заявок: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>
            <m:t>θ</m:t>
          </m:r>
          <m:r>
            <m:t>E</m:t>
          </m:r>
          <m:r>
            <m:rPr>
              <m:sty m:val="p"/>
            </m:rPr>
            <m:t>[</m:t>
          </m:r>
          <m:r>
            <m:t>S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 как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≈</m:t>
        </m:r>
        <m:r>
          <m:t>0.8333</m:t>
        </m:r>
      </m:oMath>
      <w:r>
        <w:t xml:space="preserve">, снижение пропускной способности напрямую уменьшает среднее число заявок в системе.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169129"/>
            <wp:effectExtent b="0" l="0" r="0" t="0"/>
            <wp:docPr descr="" title="fig:" id="90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30_144450__arrival-sensetivity/plots/arrival_sensitivity_mean_num_jobs_bars_by_lambda_sigma-1p2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9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среднего числа заявок показывает, что наиболее заполненной оказывается система при регулярном входящем потоке.</w:t>
      </w:r>
    </w:p>
    <w:p>
      <w:pPr>
        <w:pStyle w:val="BodyText"/>
      </w:pPr>
      <w:r>
        <w:t xml:space="preserve">Порядок по среднему числу заявок: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N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nor/>
                  <m:sty m:val="p"/>
                </m:rPr>
                <m:t>Erlang-4</m:t>
              </m:r>
            </m:sub>
          </m:sSub>
          <m:r>
            <m:rPr>
              <m:sty m:val="p"/>
            </m:rPr>
            <m:t>&gt;</m:t>
          </m:r>
          <m:r>
            <m:t>E</m:t>
          </m:r>
          <m:r>
            <m:rPr>
              <m:sty m:val="p"/>
            </m:rPr>
            <m:t>[</m:t>
          </m:r>
          <m:r>
            <m:t>N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nor/>
                  <m:sty m:val="p"/>
                </m:rPr>
                <m:t>Erlang-2</m:t>
              </m:r>
            </m:sub>
          </m:sSub>
          <m:r>
            <m:rPr>
              <m:sty m:val="p"/>
            </m:rPr>
            <m:t>&gt;</m:t>
          </m:r>
          <m:r>
            <m:t>E</m:t>
          </m:r>
          <m:r>
            <m:rPr>
              <m:sty m:val="p"/>
            </m:rPr>
            <m:t>[</m:t>
          </m:r>
          <m:r>
            <m:t>N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nor/>
                  <m:sty m:val="p"/>
                </m:rPr>
                <m:t>Poisson</m:t>
              </m:r>
            </m:sub>
          </m:sSub>
          <m:r>
            <m:rPr>
              <m:sty m:val="p"/>
            </m:rPr>
            <m:t>&gt;</m:t>
          </m:r>
          <m:r>
            <m:t>E</m:t>
          </m:r>
          <m:r>
            <m:rPr>
              <m:sty m:val="p"/>
            </m:rPr>
            <m:t>[</m:t>
          </m:r>
          <m:r>
            <m:t>N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nor/>
                  <m:sty m:val="p"/>
                </m:rPr>
                <m:t>HyperExp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Это не означает, что HyperExp создает меньшую нагрузку. Наоборот, из-за всплесков поступления он чаще приводит систему к отказам, поэтому меньше заявок фактически принимается в систему.</w:t>
      </w:r>
    </w:p>
    <w:p>
      <w:pPr>
        <w:pStyle w:val="BodyText"/>
      </w:pPr>
      <w:r>
        <w:t xml:space="preserve">Чем выше вероятность отказа, тем меньше эффективная интенсивность принятых заявок: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loss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2613660" cy="1645637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30_144450__arrival-sensetivity/plots/arrival_sensitivity_rejection_breakdown_sigma-1p2_lambda-90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1645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613660" cy="1645637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30_144450__arrival-sensetivity/plots/arrival_sensitivity_rejection_breakdown_sigma-1p2_lambda-116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1645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Графики структуры отказов показывают, что основной причиной отказов является нехватка ресурса</w:t>
      </w:r>
      <w:r>
        <w:t xml:space="preserve"> </w:t>
      </w:r>
      <m:oMath>
        <m:r>
          <m:t>R</m:t>
        </m:r>
      </m:oMath>
      <w:r>
        <w:t xml:space="preserve">, а не ограничение по числу серверов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При увеличении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число отказов резко возрастает, особенно для HyperExp. Это связано с тем, что bursty-поток создает короткие периоды высокой нагрузки, в которые система быстро достигает ресурсной границы.</w:t>
      </w:r>
    </w:p>
    <w:p>
      <w:pPr>
        <w:pStyle w:val="BodyText"/>
      </w:pPr>
      <w:r>
        <w:t xml:space="preserve">Следовательно, для данной конфигурации узким местом системы является именно ресурсное ограничение.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2613660" cy="1471643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30_144450__arrival-sensetivity/plots/arrival_sensitivity_stationary_distribution_sigma-1p2_lambda-90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1471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613660" cy="1471643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30_144450__arrival-sensetivity/plots/arrival_sensitivity_stationary_distribution_sigma-1p2_lambda-116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1471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Стационарные распределения существенно различаются для разных типов входящего потока.</w:t>
      </w:r>
    </w:p>
    <w:p>
      <w:pPr>
        <w:pStyle w:val="BodyText"/>
      </w:pPr>
      <w:r>
        <w:t xml:space="preserve">Erlang-4 дает наиболее узкое распределение: система чаще находится около среднего уровня загрузки. Erlang-2 немного шире, Poisson еще шире, а HyperExp дает самое расплывчатое распределение.</w:t>
      </w:r>
    </w:p>
    <w:p>
      <w:pPr>
        <w:pStyle w:val="BodyText"/>
      </w:pPr>
      <w:r>
        <w:t xml:space="preserve">HyperExp создает как недогруженные, так и перегруженные состояния. Поэтому даже при меньшем среднем числом заявок он имеет более опасные правые хвосты, которые и приводят к росту отказов.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2613660" cy="1472374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30_144450__arrival-sensetivity/plots/arrival_sensitivity_stationary_tail_sigma-1p2_lambda-90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1472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613660" cy="1472374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30_144450__arrival-sensetivity/plots/arrival_sensitivity_stationary_tail_sigma-1p2_lambda-116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1472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Хвостовые графики показывают вероятность события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{</m:t>
          </m:r>
          <m:r>
            <m:t>N</m:t>
          </m:r>
          <m:r>
            <m:rPr>
              <m:sty m:val="p"/>
            </m:rPr>
            <m:t>≥</m:t>
          </m:r>
          <m:r>
            <m:t>k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Erlang-4 хвост убывает быстрее всего, то есть состояния с большим числом заявок возникают редко.</w:t>
      </w:r>
    </w:p>
    <w:p>
      <w:pPr>
        <w:pStyle w:val="BodyText"/>
      </w:pPr>
      <w:r>
        <w:t xml:space="preserve">Для HyperExp хвост самый тяжелый: система чаще попадает в состояния, близкие к ресурсной границе. Для loss-системы это критично, так как очереди нет, и каждая новая заявка в перегруженном состоянии сразу получает отказ.</w:t>
      </w:r>
    </w:p>
    <w:p>
      <w:pPr>
        <w:pStyle w:val="BodyText"/>
      </w:pPr>
      <w:r>
        <w:t xml:space="preserve">При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116</m:t>
        </m:r>
      </m:oMath>
      <w:r>
        <w:t xml:space="preserve"> </w:t>
      </w:r>
      <w:r>
        <w:t xml:space="preserve">хвосты всех распределений сдвигаются вправо, но HyperExp остается худшим вариантом по вероятности перегрузочных состояний.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1725076"/>
            <wp:effectExtent b="0" l="0" r="0" t="0"/>
            <wp:docPr descr="" title="fig:" id="111" name="Picture"/>
            <a:graphic>
              <a:graphicData uri="http://schemas.openxmlformats.org/drawingml/2006/picture">
                <pic:pic>
                  <pic:nvPicPr>
                    <pic:cNvPr descr="/home/mikelobov/study/Diplom/prog_GPU/results/20260430_144450__arrival-sensetivity/plots/arrival_sensitivity_time_main_metrics_sigma-1p2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5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средних времен показывает, что среднее время обслуживания и среднее время пребывания практически не зависят ни от</w:t>
      </w:r>
      <w:r>
        <w:t xml:space="preserve"> </w:t>
      </w:r>
      <m:oMath>
        <m:r>
          <m:t>λ</m:t>
        </m:r>
      </m:oMath>
      <w:r>
        <w:t xml:space="preserve">, ни от типа входящего потока.</w:t>
      </w:r>
    </w:p>
    <w:p>
      <w:pPr>
        <w:pStyle w:val="BodyText"/>
      </w:pPr>
      <w:r>
        <w:t xml:space="preserve">Обе метрики остаются около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=</m:t>
          </m:r>
          <m:r>
            <m:t>0.8333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Это ожидаемо, потому что workload фиксирован, а очередь отсутствует. Входящий поток влияет на то, сколько заявок будет принято или отклонено, но не на длительность обслуживания принятой заявки.</w:t>
      </w:r>
    </w:p>
    <w:bookmarkStart w:id="113" w:name="итоговый-вывод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Итоговый вывод</w:t>
      </w:r>
    </w:p>
    <w:p>
      <w:pPr>
        <w:pStyle w:val="FirstParagraph"/>
      </w:pPr>
      <w:r>
        <w:t xml:space="preserve">Тип входящего потока существенно влияет на ресурсную loss-систему даже при одинаковой средней интенсивности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BodyText"/>
      </w:pPr>
      <w:r>
        <w:t xml:space="preserve">Регулярные потоки Erlang-4 и Erlang-2 уменьшают вероятность отказа и повышают эффективную пропускную способность. Пуассоновский поток занимает промежуточное положение. Гиперэкспоненциальный поток является худшим, так как создает bursty-нагрузку, увеличивает вероятность перегрузочных состояний и резко повышает число отказов.</w:t>
      </w:r>
    </w:p>
    <w:p>
      <w:pPr>
        <w:pStyle w:val="BodyText"/>
      </w:pPr>
      <w:r>
        <w:t xml:space="preserve">Основной фактор ухудшения — не средняя интенсивность сама по себе, а вариативность межприходных интервалов.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5" Target="media/rId65.png" /><Relationship Type="http://schemas.openxmlformats.org/officeDocument/2006/relationships/image" Id="rId62" Target="media/rId62.png" /><Relationship Type="http://schemas.openxmlformats.org/officeDocument/2006/relationships/image" Id="rId71" Target="media/rId71.png" /><Relationship Type="http://schemas.openxmlformats.org/officeDocument/2006/relationships/image" Id="rId68" Target="media/rId68.png" /><Relationship Type="http://schemas.openxmlformats.org/officeDocument/2006/relationships/image" Id="rId77" Target="media/rId77.png" /><Relationship Type="http://schemas.openxmlformats.org/officeDocument/2006/relationships/image" Id="rId74" Target="media/rId74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5" Target="media/rId95.png" /><Relationship Type="http://schemas.openxmlformats.org/officeDocument/2006/relationships/image" Id="rId92" Target="media/rId92.png" /><Relationship Type="http://schemas.openxmlformats.org/officeDocument/2006/relationships/image" Id="rId101" Target="media/rId101.png" /><Relationship Type="http://schemas.openxmlformats.org/officeDocument/2006/relationships/image" Id="rId98" Target="media/rId98.png" /><Relationship Type="http://schemas.openxmlformats.org/officeDocument/2006/relationships/image" Id="rId107" Target="media/rId107.png" /><Relationship Type="http://schemas.openxmlformats.org/officeDocument/2006/relationships/image" Id="rId104" Target="media/rId104.png" /><Relationship Type="http://schemas.openxmlformats.org/officeDocument/2006/relationships/image" Id="rId110" Target="media/rId110.png" /><Relationship Type="http://schemas.openxmlformats.org/officeDocument/2006/relationships/image" Id="rId12" Target="media/rId12.png" /><Relationship Type="http://schemas.openxmlformats.org/officeDocument/2006/relationships/image" Id="rId9" Target="media/rId9.png" /><Relationship Type="http://schemas.openxmlformats.org/officeDocument/2006/relationships/image" Id="rId18" Target="media/rId18.png" /><Relationship Type="http://schemas.openxmlformats.org/officeDocument/2006/relationships/image" Id="rId15" Target="media/rId15.png" /><Relationship Type="http://schemas.openxmlformats.org/officeDocument/2006/relationships/image" Id="rId24" Target="media/rId24.png" /><Relationship Type="http://schemas.openxmlformats.org/officeDocument/2006/relationships/image" Id="rId21" Target="media/rId21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2" Target="media/rId42.png" /><Relationship Type="http://schemas.openxmlformats.org/officeDocument/2006/relationships/image" Id="rId39" Target="media/rId39.png" /><Relationship Type="http://schemas.openxmlformats.org/officeDocument/2006/relationships/image" Id="rId48" Target="media/rId48.png" /><Relationship Type="http://schemas.openxmlformats.org/officeDocument/2006/relationships/image" Id="rId45" Target="media/rId45.png" /><Relationship Type="http://schemas.openxmlformats.org/officeDocument/2006/relationships/image" Id="rId54" Target="media/rId54.png" /><Relationship Type="http://schemas.openxmlformats.org/officeDocument/2006/relationships/image" Id="rId51" Target="media/rId51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графикам имитации СМО</dc:title>
  <dc:creator>Лобов Михаил Сергеевич</dc:creator>
  <dc:language>ru-RU</dc:language>
  <cp:keywords/>
  <dcterms:created xsi:type="dcterms:W3CDTF">2026-05-04T13:53:32Z</dcterms:created>
  <dcterms:modified xsi:type="dcterms:W3CDTF">2026-05-04T13:53:32Z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infontoptions">
    <vt:lpwstr>Ligatures=TeX</vt:lpwstr>
  </property>
  <property fmtid="{D5CDD505-2E9C-101B-9397-08002B2CF9AE}" pid="23" name="mathfontoptions">
    <vt:lpwstr/>
  </property>
  <property fmtid="{D5CDD505-2E9C-101B-9397-08002B2CF9AE}" pid="24" name="monofont">
    <vt:lpwstr>Courier New</vt:lpwstr>
  </property>
  <property fmtid="{D5CDD505-2E9C-101B-9397-08002B2CF9AE}" pid="25" name="monofontoptions">
    <vt:lpwstr>Scale=MatchLowercase,Scale=0.9</vt:lpwstr>
  </property>
  <property fmtid="{D5CDD505-2E9C-101B-9397-08002B2CF9AE}" pid="26" name="papersize">
    <vt:lpwstr>a4</vt:lpwstr>
  </property>
  <property fmtid="{D5CDD505-2E9C-101B-9397-08002B2CF9AE}" pid="27" name="polyglossia-lang">
    <vt:lpwstr/>
  </property>
  <property fmtid="{D5CDD505-2E9C-101B-9397-08002B2CF9AE}" pid="28" name="polyglossia-otherlangs">
    <vt:lpwstr/>
  </property>
  <property fmtid="{D5CDD505-2E9C-101B-9397-08002B2CF9AE}" pid="29" name="romanfont">
    <vt:lpwstr>Times New Roman</vt:lpwstr>
  </property>
  <property fmtid="{D5CDD505-2E9C-101B-9397-08002B2CF9AE}" pid="30" name="romanfontoptions">
    <vt:lpwstr>Ligatures=TeX</vt:lpwstr>
  </property>
  <property fmtid="{D5CDD505-2E9C-101B-9397-08002B2CF9AE}" pid="31" name="sansfont">
    <vt:lpwstr>Arial</vt:lpwstr>
  </property>
  <property fmtid="{D5CDD505-2E9C-101B-9397-08002B2CF9AE}" pid="32" name="sansfontoptions">
    <vt:lpwstr>Ligatures=TeX,Scale=MatchLowercase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