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высшего образования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«РОССИЙСКИЙ УНИВЕРСИТЕТ ДРУЖБЫ НАРОДОВ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ПАТРИСА ЛУМУМБЫ»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(РУДН)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Основное учебное подразделение факультет физико-математических и естественных наук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Направление/специальность 01.04.02 Прикладная математика и информатика, профиль «Теория вероятностей и математическая статистика»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</w:t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ОТЧЕТ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о прохождении преддипломной практики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(вид и наименование практики)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Лобов Михаил Сергеевич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(Ф.И.О. обучающегося)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Курс, группа 2 курс, НПМмд-02-24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Место прохождения практики Научный центр моделирования беспроводных сетей новых поколений института компьютерных наук и телекоммуникаций РУДН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Сроки прохождения с «07» февраля 2026 г. по «16» мая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Руководители практики: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 РУДН Платонова А.А., ассистент каф. ТВиК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от организации (предприятия) проф. Самуйлов К.Е., директор ИКНиТ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Оценка____________________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 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Москва 2026 г.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Оглавление</w:t>
      </w:r>
    </w:p>
    <w:p>
      <w:pPr>
        <w:ind w:firstLine="0"/>
      </w:pPr>
      <w:r>
        <w:t>Список сокращений</w:t>
      </w:r>
      <w:r>
        <w:t>.....................................................</w:t>
      </w:r>
      <w:r>
        <w:t>3</w:t>
      </w:r>
    </w:p>
    <w:p>
      <w:pPr>
        <w:ind w:firstLine="0"/>
      </w:pPr>
      <w:r>
        <w:t>Список основных обозначений</w:t>
      </w:r>
      <w:r>
        <w:t>...........................................</w:t>
      </w:r>
      <w:r>
        <w:t>4</w:t>
      </w:r>
    </w:p>
    <w:p>
      <w:pPr>
        <w:ind w:firstLine="0"/>
      </w:pPr>
      <w:r>
        <w:t>Введение</w:t>
      </w:r>
      <w:r>
        <w:t>..............................................................</w:t>
      </w:r>
      <w:r>
        <w:t>5</w:t>
      </w:r>
    </w:p>
    <w:p>
      <w:pPr>
        <w:ind w:firstLine="0"/>
      </w:pPr>
      <w:r>
        <w:t>Основная часть</w:t>
      </w:r>
      <w:r>
        <w:t>........................................................</w:t>
      </w:r>
      <w:r>
        <w:t>7</w:t>
      </w:r>
    </w:p>
    <w:p>
      <w:pPr>
        <w:ind w:firstLine="0"/>
      </w:pPr>
      <w:r>
        <w:t>Заключение</w:t>
      </w:r>
      <w:r>
        <w:t>............................................................</w:t>
      </w:r>
      <w:r>
        <w:t>13</w:t>
      </w:r>
    </w:p>
    <w:p>
      <w:pPr>
        <w:ind w:firstLine="0"/>
      </w:pPr>
      <w:r>
        <w:t>Список источников</w:t>
      </w:r>
      <w:r>
        <w:t>.....................................................</w:t>
      </w:r>
      <w:r>
        <w:t>15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сокращений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Русскоязычные сокращения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ВКР — выпускная квалификационная работа.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СМО — система массового обслуживания.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НИР — научно-исследовательская работа.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ТВиК — кафедра теории вероятностей и кибернетики.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Англоязычные сокращения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DES — discrete-event simulation, имитационное моделирование на основе дискретных событий.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TV distance — расстояние полной вариации между распределениями.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KL divergence — дивергенция Кульбака–Лейблера.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Exp, Erlang, Hyper-Exp, Det — классы распределений времени обслуживания, используемые в вычислительном эксперименте.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основных обозначений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K — ёмкость системы, то есть максимальное число заявок, одновременно находящихся в системе.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n — текущее состояние системы, равное числу заявок в системе.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λ(n) — интенсивность поступления заявок в состоянии n.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μ(n) — интенсивность обслуживания заявок в состоянии n.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π(n) — стационарная вероятность состояния n.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E[N] — среднее число заявок в системе.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P{N=K} — вероятность блокировки (отказа) при заполнении системы.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W — среднее время пребывания заявки в системе.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ρ — предложенная нагрузка системы.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Согласно программе преддипломной практики направления подготовки 01.04.02 «Прикладная математика и информатика», профиль «Теория вероятностей и математическая статистика», целями практики являются формирование навыков использования современных научных методов для решения научных и практических задач, развитие профессиональных навыков проведения научных исследований, формирование универсальных и профессиональных компетенций в соответствии с образовательным стандартом РУДН, а также непосредственная подготовка выпускной квалификационной работы магистра.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Преддипломная практика является завершающим этапом исследовательской подготовки обучающегося и направлена на доведение до завершённого вида содержания магистерской диссертации, оформление полученных результатов и их подготовку к защите. В рамках данной практики работа велась по теме ВКР «Инвариантность стационарного распределения для системы с ограниченными ресурсами и state-dependent λ(n), μ(n)».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Выбранная тема относится к области математического моделирования систем массового обслуживания и связана с исследованием устойчивости стационарных характеристик системы по отношению к форме закона обслуживания при наличии конечной ёмкости системы и интенсивностей поступления и обслуживания, зависящих от текущего состояния. Такая постановка важна как с теоретической точки зрения, поскольку позволяет уточнить условия инвариантности и почти-инвариантности стационарного распределения, так и с прикладной точки зрения, так как модели с ограниченными ресурсами естественным образом возникают при анализе телекоммуникационных и вычислительных систем.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Время проведения преддипломной практики — 07.02.2026–16.05.2026, место проведения — Научный центр моделирования беспроводных сетей новых поколений института компьютерных наук и телекоммуникаций РУДН. В ходе практики была завершена подготовка теоретической и вычислительной базы ВКР: проведён обзор литературы, окончательно сформулирована математическая модель, выполнена разработка вычислительного инструментария, подготовлены численные эксперименты и материалы для представления результатов исследования.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Последовательность прохождения практики, перечень работ, выполненных в процессе практики: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№ п/п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Работы и мероприятия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Пояснение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Сроки выполнения</w:t>
            </w:r>
          </w:p>
        </w:tc>
      </w:tr>
      <w:tr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1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Установочное занятие.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Инструктаж по безопасности труда и правилам пожарной безопасности; обсуждение задания на практику; разъяснение требований к отчёту и дневнику; согласование общего плана завершающего этапа ВКР.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07.02.–11.02.2026</w:t>
            </w:r>
          </w:p>
        </w:tc>
      </w:tr>
      <w:tr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2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Постановка задачи исследования ВКР.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Уточнение цели, задач, объекта и предмета исследования по теме «Инвариантность стационарного распределения для системы с ограниченными ресурсами и state-dependent λ(n), μ(n)».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12.02.–17.02.2026</w:t>
            </w:r>
          </w:p>
        </w:tc>
      </w:tr>
      <w:tr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3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Подбор источников, накопление научной информации, формирование терминологии, подготовка обзорной части темы исследования ВКР.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Систематизация и обобщение научной и учебной литературы по поставленной научным руководителем задаче; формирование библиографии и терминологической базы.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18.02.–10.03.2026</w:t>
            </w:r>
          </w:p>
        </w:tc>
      </w:tr>
      <w:tr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Оформление введения и теоретической части ВКР.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Подготовка введения, обзора литературы и структуры теоретической главы; уточнение понятия инвариантности и почти-инвариантности стационарного распределения.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11.03.–23.03.2026</w:t>
            </w:r>
          </w:p>
        </w:tc>
      </w:tr>
      <w:tr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Разработка математической модели для решения поставленной задачи.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Формализация системы с ограниченной ёмкостью K и state-dependent λ(n), μ(n); выбор исследуемых метрик π(n), E[N], P{N=K}, W.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24.03.–05.04.2026</w:t>
            </w:r>
          </w:p>
        </w:tc>
      </w:tr>
      <w:tr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6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Проведение научных исследований в рамках построенной математической модели.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Аналитическое исследование условий инвариантности и подготовка частных случаев, гипотез и контрпримеров для численной проверки.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06.04.–15.04.2026</w:t>
            </w:r>
          </w:p>
        </w:tc>
      </w:tr>
      <w:tr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7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Разработка программного комплекса, подбор исходных данных и проведение эксперимента.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Разработка DES/численной реализации модели; подбор параметров; проведение серий вычислительных экспериментов; обработка и анализ результатов.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16.04.–30.04.2026</w:t>
            </w:r>
          </w:p>
        </w:tc>
      </w:tr>
      <w:tr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8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Подготовка материалов для публичного представления результатов исследования.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Подготовка презентации, краткой аннотации и тезисов по теме исследования; интеграция результатов в основной текст ВКР.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01.05.–06.05.2026</w:t>
            </w:r>
          </w:p>
        </w:tc>
      </w:tr>
      <w:tr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9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Подготовка отчета и дневника по практике.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Оформление текста отчёта по практике, актуализация дневника, проверка комплектности и согласованности материалов.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07.05.–10.05.2026</w:t>
            </w:r>
          </w:p>
        </w:tc>
      </w:tr>
      <w:tr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10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Собеседование с научным руководителем и руководителем практики по содержанию отчета и дневника по практике.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Обсуждение содержания отчёта и дневника, внесение необходимых исправлений.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11.05.–13.05.2026</w:t>
            </w:r>
          </w:p>
        </w:tc>
      </w:tr>
      <w:tr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11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Проверка и подпись отчетных документов руководителем практики.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Передача финальных версий документов и получение подписей.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14.05.–15.05.2026</w:t>
            </w:r>
          </w:p>
        </w:tc>
      </w:tr>
      <w:tr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12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Представление отчетных документов в ТУИС.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Загрузка отчёта, дневника и отзыва-характеристики в систему отчётности.</w:t>
            </w:r>
          </w:p>
        </w:tc>
        <w:tc>
          <w:tcPr>
            <w:tcW w:type="dxa" w:w="2493"/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16.05.2026</w:t>
            </w:r>
          </w:p>
        </w:tc>
      </w:tr>
    </w:tbl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Основная часть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Основное содержание преддипломной практики было непосредственно связано с завершением магистерской диссертации по теме «Инвариантность стационарного распределения для системы с ограниченными ресурсами и state-dependent λ(n), μ(n)». В рамках практики были доведены до логического завершения ключевые элементы исследования: окончательно сформулирована постановка задачи, подготовлен обзор литературы, уточнена математическая модель, разработан вычислительный инструментарий, получены и интерпретированы результаты численного эксперимента, а также оформлены материалы ВКР и сопутствующая отчётная документация.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На первом этапе практики была завершена работа по систематизации литературы. Были отобраны и структурированы публикации, посвящённые инвариантности и insensitivity в теории очередей, системам массового обслуживания с ограниченной ёмкостью, моделям со state-dependent интенсивностями, а также прикладным моделям ресурсно-ограниченных систем, использующимся при анализе телекоммуникационных и вычислительных систем. Результаты литературного обзора позволили уточнить, какие свойства стационарного распределения уже изучены в классических моделях и какие аспекты сохраняют исследовательский интерес в случае state-dependent λ(n), μ(n).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На втором этапе была окончательно сформулирована математическая постановка задачи. Рассматривалась система массового обслуживания с конечной ёмкостью K, где состояние системы определяется числом заявок n, находящихся в системе в данный момент времени. Интенсивность поступления λ(n) и интенсивность обслуживания μ(n) полагаются зависящими от состояния n. Такая постановка позволяет моделировать ситуации, когда при росте загрузки изменяются интенсивность допуска новых заявок и скорость обслуживания в зависимости от текущего уровня использования ресурса. Для данной модели были выделены основные характеристики, подлежащие исследованию: стационарные вероятности π(n), среднее число заявок E[N], вероятность блокировки P{N=K} и среднее время пребывания заявки в системе W.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Далее было уточнено содержание исследуемого свойства инвариантности. В данной работе под инвариантностью понимается устойчивость стационарного распределения состояний системы к изменению формы закона обслуживания при сохранении его среднего значения и неизменности структуры state-dependent зависимостей λ(n), μ(n). Наряду со строгой инвариантностью рассматривалось понятие почти-инвариантности, при котором различие между стационарными распределениями, полученными для различных классов распределений времени обслуживания, остаётся малым по выбранной мере, например по полной вариации или по различию ключевых характеристик системы.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В теоретической части были проанализированы типовые классы функций λ(n), μ(n), пригодные для исследования и интерпретации: линейные, пороговые и насыщаемые зависимости. Для каждого класса были сформулированы сценарии, в которых возможна либо инвариантность стационарного распределения, либо отклонение от неё. Кроме того, была подготовлена структура аналитической главы ВКР, включающая обсуждение достаточных условий инвариантности, частных случаев и возможных контрпримеров.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Практическая часть работы заключалась в разработке вычислительного инструментария для имитационного моделирования исследуемой системы. В качестве базового подхода был использован метод discrete-event simulation (DES), позволяющий моделировать последовательность событий поступления, начала обслуживания, завершения обслуживания и отказа при входе. Была реализована архитектура симулятора, включающая модуль задания сценариев, генерацию входного потока, реализацию различных законов обслуживания и сбор статистики по стационарным характеристикам. Отдельное внимание было уделено верификации корректности работы модели на простых частных случаях и организации процедуры выхода на стационарный режим.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После разработки программной части были сформированы серии вычислительных экспериментов. В ходе экспериментов сравнивались значения π(n), E[N], P{N=K} и W для различных законов обслуживания при одинаковом среднем значении времени обслуживания: экспоненциального, эрланговского, гиперэкспоненциального и детерминированного. Такой набор сценариев позволил выделить области параметров, в которых наблюдается почти-инвариантность стационарного распределения, а также случаи, когда форма распределения обслуживания оказывает существенное влияние на характеристики системы. Дополнительно был проведён анализ чувствительности результатов к изменению ёмкости системы K, уровня нагрузки и формы state-dependent зависимостей λ(n), μ(n).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Результаты вычислительных экспериментов были обработаны и представлены в виде таблиц, графиков стационарного распределения и сравнительных характеристик. Было показано, что для ряда наборов параметров различия между стационарными распределениями при смене формы закона обслуживания остаются малы, что подтверждает наличие области почти-инвариантности. В то же время для отдельных классов параметров были зафиксированы заметные отклонения, что позволяет использовать такие сценарии как контрпримеры к более сильным гипотезам об инвариантности.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Отдельным направлением практики стала подготовка материалов для публичного представления результатов исследования. В рамках этого этапа была подготовлена краткая аннотация по теме ВКР, структурирована логика устного выступления, а также сформирована презентация, отражающая актуальность задачи, используемую математическую модель, вычислительный подход и основные предварительные выводы. Эти материалы предназначены как для обсуждения с научным руководителем, так и для дальнейшего использования при предзащите и защите магистерской диссертации.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Таким образом, преддипломная практика фактически стала заключительной стадией оформления и проверки результатов, полученных в ходе работы над ВКР. В результате были получены не только исследовательские наработки, но и завершённый комплект материалов, достаточный для подготовки итогового текста диссертации, презентации и сопутствующих документов.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За период преддипломной практики, проходившей в Научном центре моделирования беспроводных сетей новых поколений института компьютерных наук и телекоммуникаций РУДН, были достигнуты основные цели завершающего этапа подготовки магистерской диссертации. В рамках практики была завершена постановка задачи по теме «Инвариантность стационарного распределения для системы с ограниченными ресурсами и state-dependent λ(n), μ(n)», систематизированы и изучены профильные научные публикации, сформирован обзор литературы, уточнена математическая модель и реализован вычислительный инструментарий для численного анализа.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В ходе практики были развиты навыки поиска и критического анализа научной литературы, формализации математической постановки, разработки вычислительных сценариев, интерпретации результатов моделирования и подготовки исследовательского текста. Были закреплены компетенции, связанные с обработкой научно-технической информации, применением математических методов и цифровых технологий для решения прикладных задач, а также с представлением результатов исследования в письменной и устной форме.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Полученные результаты позволили завершить содержательную подготовку выпускной квалификационной работы. В ходе практики были оформлены введение и обзорная часть исследования, уточнены основные обозначения и метрики, подготовлены разделы, посвящённые математической модели и вычислительному эксперименту, а также сформированы выводы и материалы для публичного представления результатов. Это позволяет сделать вывод о том, что цели преддипломной практики, связанные с подготовкой ВКР и развитием исследовательских компетенций, были достигнуты.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В подтверждение выполнения задач и достижения целей преддипломной практики ниже представлена таблица критериев оценки, предусмотренных программой практики. Графа «Факт» оставлена для итогового заполнения руководителем практики.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Критерии оценки, в том числе наличие и соответствие представленных документов требованиям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Максимальное число баллов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Факт</w:t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Подпись в листе инструктажа об ознакомлении с инструкцией по безопасности труда и правилам пожарной безопасности при выполнении лабораторных и практических работ.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5 – если до 11.02.2026.</w:t>
              <w:br/>
              <w:br/>
              <w:t>Недопуск к практике – если позже.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Детализация индивидуального задания, полученного от руководителя практики. Отправка согласованного с научным руководителем задания руководителю практики.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6-10 – до 17.02.2026.</w:t>
              <w:br/>
              <w:br/>
              <w:t>0-5 – если позже.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Соответствие дневника практики требованиям рабочей программы и ФОС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0-20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Соответствие отчета практики требованиям рабочей программы и ФОС, учитывая рекомендованную оценку научного руководителя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0-50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Своевременное представление дневника и отчёта по практике в ТУИС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15 – если до 16.05.2026.</w:t>
              <w:br/>
              <w:br/>
              <w:t>Незачет – если позже.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ИТОГО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100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Тезисы до 3 стр.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2 бонусных балла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</w:tr>
      <w:tr>
        <w:tc>
          <w:tcPr>
            <w:tcW w:type="dxa" w:w="3324"/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sz w:val="21"/>
              </w:rPr>
              <w:t>Статья свыше 3 стр.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  <w:t>3 бонусных балла</w:t>
            </w:r>
          </w:p>
        </w:tc>
        <w:tc>
          <w:tcPr>
            <w:tcW w:type="dxa" w:w="3324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sz w:val="21"/>
              </w:rPr>
            </w:r>
          </w:p>
        </w:tc>
      </w:tr>
    </w:tbl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Список источников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1. Sopin E. S., Naoumov V. A., Samouylov K. E. On the insensitivity of the stationary distribution of the limited resources queuing system with state-dependent arrival and service rates // Информатика и её применения. 2018. Т. 12. № 3. С. 50–56.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2. Brumelle S. L. A Generalization of Erlang’s Loss System to State Dependent Arrival and Service Rates // Mathematics of Operations Research. 1978. Vol. 3. No. 1. P. 10–16.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3. Burman D. Y. Insensitivity in Queueing Systems // Advances in Applied Probability. 1981. Vol. 13. No. 4. P. 846–859.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4. Bekker R. Finite-Buffer Queues with Workload-Dependent Service and Arrival Rates. Working paper / Vrije Universiteit Amsterdam.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5. Abouee-Mehrizi H., Baron O. State-Dependent M/G/1 Queueing Systems. Working paper / Rotman School of Management, University of Toronto.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6. Sopin E., Ageev K., Samouylov K. Approximate Analysis of the Limited Resources Queuing System with Signals // Proceedings of the European Conference on Modelling and Simulation. 2019.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7. Sopin E., Ageev K., Shorgin S. Simulation of the Limited Resources Queuing System for Performance Analysis of Wireless Networks // Proceedings of the 32nd European Conference on Modelling and Simulation. 2018. P. 505–509.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8. Daraseliya A. V., Sopin E. S., Moltchanov D. A., Samouylov K. E. Analysis of 5G NR Base Stations Offloading by Means of NR-U Technology // Информатика и её применения. 2021. Т. 15. № 3. С. 96–102.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9. Zukerman M. Introduction to Queueing Theory and Stochastic Teletraffic Models. Учебные материалы.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8"/>
        </w:rPr>
        <w:t>10. Sztrik J. Basic Queueing Theory. Учебное пособие.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