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магистерская-диссертация"/>
    <w:p>
      <w:pPr>
        <w:pStyle w:val="Heading1"/>
      </w:pPr>
      <w:r>
        <w:t xml:space="preserve">МАГИСТЕРСКАЯ ДИССЕРТАЦИЯ</w:t>
      </w:r>
    </w:p>
    <w:bookmarkStart w:id="20" w:name="X437edaee91fcc65159c9c4b7a784e46dcaf6e0a"/>
    <w:p>
      <w:pPr>
        <w:pStyle w:val="Heading2"/>
      </w:pPr>
      <w:r>
        <w:t xml:space="preserve">«Инвариантность стационарного распределения для системы с ограниченными ресурсами и state-dependent λ(n), μ(n)»</w:t>
      </w:r>
    </w:p>
    <w:p>
      <w:r>
        <w:pict>
          <v:rect style="width:0;height:1.5pt" o:hralign="center" o:hrstd="t" o:hr="t"/>
        </w:pict>
      </w:r>
    </w:p>
    <w:bookmarkEnd w:id="20"/>
    <w:bookmarkStart w:id="21" w:name="X2388f96a170a4251411dfce1fa1264a87524e29"/>
    <w:p>
      <w:pPr>
        <w:pStyle w:val="Heading2"/>
      </w:pPr>
      <w:r>
        <w:t xml:space="preserve">ТИТУЛЬНЫЙ ЛИСТ (оформляется по шаблону РУДН/кафедры)</w:t>
      </w:r>
    </w:p>
    <w:p>
      <w:pPr>
        <w:numPr>
          <w:ilvl w:val="0"/>
          <w:numId w:val="1001"/>
        </w:numPr>
        <w:pStyle w:val="Compact"/>
      </w:pPr>
      <w:r>
        <w:t xml:space="preserve">Вуз, факультет, кафедра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Направление: 01.04.02 «Прикладная математика и информатика»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Профиль: «Теория вероятностей и математическая статистика»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Автор: Лобов Михаил Сергеевич, группа НПМмд-02-24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Научный руководитель: (ФИО, степень, должность)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Город, год</w:t>
      </w:r>
    </w:p>
    <w:p>
      <w:r>
        <w:pict>
          <v:rect style="width:0;height:1.5pt" o:hralign="center" o:hrstd="t" o:hr="t"/>
        </w:pict>
      </w:r>
    </w:p>
    <w:bookmarkEnd w:id="21"/>
    <w:bookmarkStart w:id="22" w:name="реферат-1-страница"/>
    <w:p>
      <w:pPr>
        <w:pStyle w:val="Heading2"/>
      </w:pPr>
      <w:r>
        <w:t xml:space="preserve">РЕФЕРАТ (1 страница)</w:t>
      </w:r>
    </w:p>
    <w:p>
      <w:pPr>
        <w:pStyle w:val="FirstParagraph"/>
      </w:pPr>
      <w:r>
        <w:rPr>
          <w:bCs/>
          <w:b/>
        </w:rPr>
        <w:t xml:space="preserve">Объект исследования:</w:t>
      </w:r>
      <w:r>
        <w:t xml:space="preserve"> </w:t>
      </w:r>
      <w:r>
        <w:t xml:space="preserve">системы массового обслуживания с ограниченными ресурсами (ёмкостью) и зависящими от состояния интенсивностями.</w:t>
      </w:r>
      <w:r>
        <w:br/>
      </w:r>
      <w:r>
        <w:rPr>
          <w:bCs/>
          <w:b/>
        </w:rPr>
        <w:t xml:space="preserve">Предмет исследования:</w:t>
      </w:r>
      <w:r>
        <w:t xml:space="preserve"> </w:t>
      </w:r>
      <w:r>
        <w:t xml:space="preserve">условия инвариантности (insensitivity) стационарного распределения к форме закона обслуживания при state-dependent λ(n), μ(n).</w:t>
      </w:r>
      <w:r>
        <w:br/>
      </w:r>
      <w:r>
        <w:rPr>
          <w:bCs/>
          <w:b/>
        </w:rPr>
        <w:t xml:space="preserve">Цель:</w:t>
      </w:r>
      <w:r>
        <w:t xml:space="preserve"> </w:t>
      </w:r>
      <w:r>
        <w:t xml:space="preserve">установить достаточные (и частично необходимые) условия, при которых стационарное распределение π(n) не зависит (или почти не зависит) от формы распределения обслуживания.</w:t>
      </w:r>
      <w:r>
        <w:br/>
      </w:r>
      <w:r>
        <w:rPr>
          <w:bCs/>
          <w:b/>
        </w:rPr>
        <w:t xml:space="preserve">Задачи:</w:t>
      </w:r>
      <w:r>
        <w:t xml:space="preserve"> </w:t>
      </w:r>
      <w:r>
        <w:t xml:space="preserve">(коротко 5–7 пунктов, см. введение).</w:t>
      </w:r>
      <w:r>
        <w:br/>
      </w:r>
      <w:r>
        <w:rPr>
          <w:bCs/>
          <w:b/>
        </w:rPr>
        <w:t xml:space="preserve">Методы:</w:t>
      </w:r>
      <w:r>
        <w:t xml:space="preserve"> </w:t>
      </w:r>
      <w:r>
        <w:t xml:space="preserve">детальный/частичный баланс, обратимость/квазиреверсивность, сравнение стационаров (TV/KL), имитационное моделирование (DES), анализ чувствительности.</w:t>
      </w:r>
      <w:r>
        <w:br/>
      </w:r>
      <w:r>
        <w:rPr>
          <w:bCs/>
          <w:b/>
        </w:rPr>
        <w:t xml:space="preserve">Результаты:</w:t>
      </w:r>
      <w:r>
        <w:t xml:space="preserve"> </w:t>
      </w:r>
      <w:r>
        <w:t xml:space="preserve">перечислить 3–6 результатов (теорема, контрпример, «зоны почти-инвариантности», симулятор, практические рекомендации).</w:t>
      </w:r>
      <w:r>
        <w:br/>
      </w:r>
      <w:r>
        <w:rPr>
          <w:bCs/>
          <w:b/>
        </w:rPr>
        <w:t xml:space="preserve">Ключевые слова:</w:t>
      </w:r>
      <w:r>
        <w:t xml:space="preserve"> </w:t>
      </w:r>
      <w:r>
        <w:t xml:space="preserve">стационарное распределение, инвариантность, insensitivity, очереди, state-dependent интенсивности, ограниченная ёмкость, отказ, DES.</w:t>
      </w:r>
      <w:r>
        <w:br/>
      </w:r>
      <w:r>
        <w:rPr>
          <w:bCs/>
          <w:b/>
        </w:rPr>
        <w:t xml:space="preserve">Объём:</w:t>
      </w:r>
      <w:r>
        <w:t xml:space="preserve"> </w:t>
      </w:r>
      <w:r>
        <w:t xml:space="preserve">___ стр., ___ рис., ___ табл., ___ источников, ___ приложений.</w:t>
      </w:r>
    </w:p>
    <w:p>
      <w:r>
        <w:pict>
          <v:rect style="width:0;height:1.5pt" o:hralign="center" o:hrstd="t" o:hr="t"/>
        </w:pict>
      </w:r>
    </w:p>
    <w:bookmarkEnd w:id="22"/>
    <w:bookmarkStart w:id="23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t xml:space="preserve">(в Word делается автоматически; здесь — структура)</w:t>
      </w:r>
    </w:p>
    <w:p>
      <w:r>
        <w:pict>
          <v:rect style="width:0;height:1.5pt" o:hralign="center" o:hrstd="t" o:hr="t"/>
        </w:pict>
      </w:r>
    </w:p>
    <w:bookmarkEnd w:id="23"/>
    <w:bookmarkStart w:id="24" w:name="список-сокращений-и-обозначений"/>
    <w:p>
      <w:pPr>
        <w:pStyle w:val="Heading2"/>
      </w:pPr>
      <w:r>
        <w:t xml:space="preserve">СПИСОК СОКРАЩЕНИЙ И ОБОЗНАЧЕНИЙ</w:t>
      </w:r>
    </w:p>
    <w:p>
      <w:pPr>
        <w:numPr>
          <w:ilvl w:val="0"/>
          <w:numId w:val="1002"/>
        </w:numPr>
        <w:pStyle w:val="Compact"/>
      </w:pPr>
      <m:oMath>
        <m:r>
          <m:t>K</m:t>
        </m:r>
      </m:oMath>
      <w:r>
        <w:t xml:space="preserve"> </w:t>
      </w:r>
      <w:r>
        <w:t xml:space="preserve">— ёмкость системы (максимальное число заявок в системе)</w:t>
      </w:r>
      <w:r>
        <w:br/>
      </w:r>
    </w:p>
    <w:p>
      <w:pPr>
        <w:numPr>
          <w:ilvl w:val="0"/>
          <w:numId w:val="1002"/>
        </w:numPr>
        <w:pStyle w:val="Compact"/>
      </w:pPr>
      <m:oMath>
        <m:r>
          <m:t>n</m:t>
        </m:r>
      </m:oMath>
      <w:r>
        <w:t xml:space="preserve"> </w:t>
      </w:r>
      <w:r>
        <w:t xml:space="preserve">— состояние (число заявок)</w:t>
      </w:r>
      <w:r>
        <w:br/>
      </w:r>
    </w:p>
    <w:p>
      <w:pPr>
        <w:numPr>
          <w:ilvl w:val="0"/>
          <w:numId w:val="1002"/>
        </w:numPr>
        <w:pStyle w:val="Compact"/>
      </w:pP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 интенсивность поступления в состоянии</w:t>
      </w:r>
      <w:r>
        <w:t xml:space="preserve"> </w:t>
      </w:r>
      <m:oMath>
        <m:r>
          <m:t>n</m:t>
        </m:r>
      </m:oMath>
      <w:r>
        <w:br/>
      </w:r>
    </w:p>
    <w:p>
      <w:pPr>
        <w:numPr>
          <w:ilvl w:val="0"/>
          <w:numId w:val="1002"/>
        </w:numPr>
        <w:pStyle w:val="Compact"/>
      </w:pPr>
      <m:oMath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 интенсивность обслуживания в состоянии</w:t>
      </w:r>
      <w:r>
        <w:t xml:space="preserve"> </w:t>
      </w:r>
      <m:oMath>
        <m:r>
          <m:t>n</m:t>
        </m:r>
      </m:oMath>
      <w:r>
        <w:br/>
      </w:r>
    </w:p>
    <w:p>
      <w:pPr>
        <w:numPr>
          <w:ilvl w:val="0"/>
          <w:numId w:val="1002"/>
        </w:numPr>
        <w:pStyle w:val="Compact"/>
      </w:pPr>
      <m:oMath>
        <m:r>
          <m:t>π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 стационарная вероятность состояния</w:t>
      </w:r>
      <w:r>
        <w:t xml:space="preserve"> </w:t>
      </w:r>
      <m:oMath>
        <m:r>
          <m:t>n</m:t>
        </m:r>
      </m:oMath>
      <w:r>
        <w:br/>
      </w:r>
    </w:p>
    <w:p>
      <w:pPr>
        <w:numPr>
          <w:ilvl w:val="0"/>
          <w:numId w:val="1002"/>
        </w:numPr>
        <w:pStyle w:val="Compact"/>
      </w:pP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метрики качества обслуживания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TV, KL — меры различия распределений (если используешь)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введение"/>
    <w:p>
      <w:pPr>
        <w:pStyle w:val="Heading1"/>
      </w:pPr>
      <w:r>
        <w:t xml:space="preserve">ВВЕДЕНИЕ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Актуальность темы</w:t>
      </w:r>
      <w:r>
        <w:br/>
      </w:r>
      <w:r>
        <w:t xml:space="preserve">Ограниченные ресурсы в системах связи/вычислений; необходимость устойчивых оценок качества (отказы, задержки); проблема чувствительности к «форме» распределений.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Степень разработанности</w:t>
      </w:r>
      <w:r>
        <w:br/>
      </w:r>
      <w:r>
        <w:t xml:space="preserve">Insensitivity в классических моделях (Erlang/BCMP/частичный баланс), очереди с ограниченной ёмкостью, state-dependent модели.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Цель работы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Задачи работы</w:t>
      </w:r>
      <w:r>
        <w:t xml:space="preserve"> </w:t>
      </w:r>
      <w:r>
        <w:t xml:space="preserve">(примерный набор)</w:t>
      </w:r>
    </w:p>
    <w:p>
      <w:pPr>
        <w:numPr>
          <w:ilvl w:val="1"/>
          <w:numId w:val="1004"/>
        </w:numPr>
        <w:pStyle w:val="Compact"/>
      </w:pPr>
      <w:r>
        <w:t xml:space="preserve">Формализовать модель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(или выбранный класс) с state-dependent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1"/>
          <w:numId w:val="1004"/>
        </w:numPr>
        <w:pStyle w:val="Compact"/>
      </w:pPr>
      <w:r>
        <w:t xml:space="preserve">Определить формально инвариантность/почти-инвариантность стационара</w:t>
      </w:r>
    </w:p>
    <w:p>
      <w:pPr>
        <w:numPr>
          <w:ilvl w:val="1"/>
          <w:numId w:val="1004"/>
        </w:numPr>
        <w:pStyle w:val="Compact"/>
      </w:pPr>
      <w:r>
        <w:t xml:space="preserve">Получить достаточные условия инвариантности (теорема/леммы)</w:t>
      </w:r>
    </w:p>
    <w:p>
      <w:pPr>
        <w:numPr>
          <w:ilvl w:val="1"/>
          <w:numId w:val="1004"/>
        </w:numPr>
        <w:pStyle w:val="Compact"/>
      </w:pPr>
      <w:r>
        <w:t xml:space="preserve">Построить контрпримеры нарушения инвариантности</w:t>
      </w:r>
    </w:p>
    <w:p>
      <w:pPr>
        <w:numPr>
          <w:ilvl w:val="1"/>
          <w:numId w:val="1004"/>
        </w:numPr>
        <w:pStyle w:val="Compact"/>
      </w:pPr>
      <w:r>
        <w:t xml:space="preserve">Разработать и верифицировать DES-симулятор</w:t>
      </w:r>
    </w:p>
    <w:p>
      <w:pPr>
        <w:numPr>
          <w:ilvl w:val="1"/>
          <w:numId w:val="1004"/>
        </w:numPr>
        <w:pStyle w:val="Compact"/>
      </w:pPr>
      <w:r>
        <w:t xml:space="preserve">Провести серию экспериментов и анализ чувствительности</w:t>
      </w:r>
    </w:p>
    <w:p>
      <w:pPr>
        <w:numPr>
          <w:ilvl w:val="1"/>
          <w:numId w:val="1004"/>
        </w:numPr>
        <w:pStyle w:val="Compact"/>
      </w:pPr>
      <w:r>
        <w:t xml:space="preserve">Дать прикладную интерпретацию для систем с ограниченными ресурсами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Объект и предмет исследования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Научная новизна</w:t>
      </w:r>
      <w:r>
        <w:t xml:space="preserve"> </w:t>
      </w:r>
      <w:r>
        <w:t xml:space="preserve">(3–6 пунктов, конкретно)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Теоретическая и практическая значимость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Положения, выносимые на защиту</w:t>
      </w:r>
      <w:r>
        <w:t xml:space="preserve"> </w:t>
      </w:r>
      <w:r>
        <w:t xml:space="preserve">(3–6 пунктов)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Апробация и публикации</w:t>
      </w:r>
      <w:r>
        <w:t xml:space="preserve"> </w:t>
      </w:r>
      <w:r>
        <w:t xml:space="preserve">(заполняется по факту)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Структура работы</w:t>
      </w:r>
    </w:p>
    <w:p>
      <w:r>
        <w:pict>
          <v:rect style="width:0;height:1.5pt" o:hralign="center" o:hrstd="t" o:hr="t"/>
        </w:pict>
      </w:r>
    </w:p>
    <w:bookmarkEnd w:id="26"/>
    <w:bookmarkStart w:id="27" w:name="Xaa10c5041649a867e17d2fe3e656108834b0cf1"/>
    <w:p>
      <w:pPr>
        <w:pStyle w:val="Heading1"/>
      </w:pPr>
      <w:r>
        <w:t xml:space="preserve">ГЛАВА 1. ОБЗОР ЛИТЕРАТУРЫ И ТЕОРЕТИЧЕСКИЙ КОНТЕКСТ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Cs/>
          <w:b/>
        </w:rPr>
        <w:t xml:space="preserve">Инвариантность (insensitivity) в теории очередей</w:t>
      </w:r>
      <w:r>
        <w:br/>
      </w:r>
      <w:r>
        <w:t xml:space="preserve">- что называют insensitivity</w:t>
      </w:r>
      <w:r>
        <w:br/>
      </w:r>
      <w:r>
        <w:t xml:space="preserve">- где возникает (частичный баланс, product-form)</w:t>
      </w:r>
      <w:r>
        <w:t xml:space="preserve"> </w:t>
      </w:r>
      <w:r>
        <w:t xml:space="preserve">1.2.</w:t>
      </w:r>
      <w:r>
        <w:t xml:space="preserve"> </w:t>
      </w:r>
      <w:r>
        <w:rPr>
          <w:bCs/>
          <w:b/>
        </w:rPr>
        <w:t xml:space="preserve">Очереди с ограниченной ёмкостью</w:t>
      </w:r>
      <w:r>
        <w:rPr>
          <w:bCs/>
          <w:b/>
        </w:rPr>
        <w:t xml:space="preserve"> </w:t>
      </w:r>
      <m:oMath>
        <m:r>
          <m:t>K</m:t>
        </m:r>
      </m:oMath>
      <w:r>
        <w:br/>
      </w:r>
      <w:r>
        <w:t xml:space="preserve">- отказы, стационар, ключевые метрики</w:t>
      </w:r>
      <w:r>
        <w:t xml:space="preserve"> </w:t>
      </w:r>
      <w:r>
        <w:t xml:space="preserve">1.3.</w:t>
      </w:r>
      <w:r>
        <w:t xml:space="preserve"> </w:t>
      </w:r>
      <w:r>
        <w:rPr>
          <w:bCs/>
          <w:b/>
        </w:rPr>
        <w:t xml:space="preserve">State-dependent интенсивности</w:t>
      </w:r>
      <w:r>
        <w:rPr>
          <w:bCs/>
          <w:b/>
        </w:rP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br/>
      </w:r>
      <w:r>
        <w:t xml:space="preserve">- зачем вводят, типовые формы (линейная/пороговая/насыщение)</w:t>
      </w:r>
      <w:r>
        <w:br/>
      </w:r>
      <w:r>
        <w:t xml:space="preserve">- примеры из инженерных систем</w:t>
      </w:r>
      <w:r>
        <w:t xml:space="preserve"> </w:t>
      </w:r>
      <w:r>
        <w:t xml:space="preserve">1.4.</w:t>
      </w:r>
      <w:r>
        <w:t xml:space="preserve"> </w:t>
      </w:r>
      <w:r>
        <w:rPr>
          <w:bCs/>
          <w:b/>
        </w:rPr>
        <w:t xml:space="preserve">Связь с прикладными задачами ограниченных ресурсов</w:t>
      </w:r>
      <w:r>
        <w:br/>
      </w:r>
      <w:r>
        <w:t xml:space="preserve">- ресурсные ограничения, admission control, деградация скорости при нагрузке</w:t>
      </w:r>
      <w:r>
        <w:br/>
      </w:r>
      <w:r>
        <w:rPr>
          <w:bCs/>
          <w:b/>
        </w:rPr>
        <w:t xml:space="preserve">Вывод по главе 1:</w:t>
      </w:r>
      <w:r>
        <w:t xml:space="preserve"> </w:t>
      </w:r>
      <w:r>
        <w:t xml:space="preserve">какие пробелы остаются и что именно делает эта ВКР.</w:t>
      </w:r>
    </w:p>
    <w:p>
      <w:r>
        <w:pict>
          <v:rect style="width:0;height:1.5pt" o:hralign="center" o:hrstd="t" o:hr="t"/>
        </w:pict>
      </w:r>
    </w:p>
    <w:bookmarkEnd w:id="27"/>
    <w:bookmarkStart w:id="28" w:name="X14c0310650de6acb8247204713d484443726e70"/>
    <w:p>
      <w:pPr>
        <w:pStyle w:val="Heading1"/>
      </w:pPr>
      <w:r>
        <w:t xml:space="preserve">ГЛАВА 2. ПОСТАНОВКА ЗАДАЧИ И МАТЕМАТИЧЕСКАЯ МОДЕЛЬ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Cs/>
          <w:b/>
        </w:rPr>
        <w:t xml:space="preserve">Описание модели</w:t>
      </w:r>
      <w:r>
        <w:br/>
      </w:r>
      <w:r>
        <w:t xml:space="preserve">- состояние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br/>
      </w:r>
      <w:r>
        <w:t xml:space="preserve">- правила поступления и обслуживания</w:t>
      </w:r>
      <w:r>
        <w:br/>
      </w:r>
      <w:r>
        <w:t xml:space="preserve">- отказ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2.2.</w:t>
      </w:r>
      <w:r>
        <w:t xml:space="preserve"> </w:t>
      </w:r>
      <w:r>
        <w:rPr>
          <w:bCs/>
          <w:b/>
        </w:rPr>
        <w:t xml:space="preserve">Классы</w:t>
      </w:r>
      <w:r>
        <w:rPr>
          <w:bCs/>
          <w:b/>
        </w:rP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br/>
      </w:r>
      <w:r>
        <w:t xml:space="preserve">- ограничения (неотрицательность, условия устойчивости/существования стационара)</w:t>
      </w:r>
      <w:r>
        <w:t xml:space="preserve"> </w:t>
      </w:r>
      <w:r>
        <w:t xml:space="preserve">2.3.</w:t>
      </w:r>
      <w:r>
        <w:t xml:space="preserve"> </w:t>
      </w:r>
      <w:r>
        <w:rPr>
          <w:bCs/>
          <w:b/>
        </w:rPr>
        <w:t xml:space="preserve">Стационарное распределение</w:t>
      </w:r>
      <w:r>
        <w:rPr>
          <w:bCs/>
          <w:b/>
        </w:rPr>
        <w:t xml:space="preserve"> </w:t>
      </w:r>
      <m:oMath>
        <m:r>
          <m:t>π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br/>
      </w:r>
      <w:r>
        <w:t xml:space="preserve">- определение, условия существования</w:t>
      </w:r>
      <w:r>
        <w:br/>
      </w:r>
      <w:r>
        <w:t xml:space="preserve">- способы вычисления/оценки (аналитика/симуляция)</w:t>
      </w:r>
      <w:r>
        <w:t xml:space="preserve"> </w:t>
      </w:r>
      <w:r>
        <w:t xml:space="preserve">2.4.</w:t>
      </w:r>
      <w:r>
        <w:t xml:space="preserve"> </w:t>
      </w:r>
      <w:r>
        <w:rPr>
          <w:bCs/>
          <w:b/>
        </w:rPr>
        <w:t xml:space="preserve">Метрики качества</w:t>
      </w:r>
      <w:r>
        <w:br/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 др.</w:t>
      </w:r>
      <w:r>
        <w:br/>
      </w:r>
      <w:r>
        <w:t xml:space="preserve">2.5.</w:t>
      </w:r>
      <w:r>
        <w:t xml:space="preserve"> </w:t>
      </w:r>
      <w:r>
        <w:rPr>
          <w:bCs/>
          <w:b/>
        </w:rPr>
        <w:t xml:space="preserve">Определения «инвариантности» и «почти-инвариантности»</w:t>
      </w:r>
      <w:r>
        <w:br/>
      </w:r>
      <w:r>
        <w:t xml:space="preserve">- строгая:</w:t>
      </w:r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класса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при фиксированных параметрах</w:t>
      </w:r>
      <w:r>
        <w:br/>
      </w:r>
      <w:r>
        <w:t xml:space="preserve">- почти-инвариантность: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r>
          <m:t>ε</m:t>
        </m:r>
      </m:oMath>
      <w:r>
        <w:t xml:space="preserve"> </w:t>
      </w:r>
      <w:r>
        <w:t xml:space="preserve">(TV/KL или по метрикам)</w:t>
      </w:r>
    </w:p>
    <w:p>
      <w:r>
        <w:pict>
          <v:rect style="width:0;height:1.5pt" o:hralign="center" o:hrstd="t" o:hr="t"/>
        </w:pict>
      </w:r>
    </w:p>
    <w:bookmarkEnd w:id="28"/>
    <w:bookmarkStart w:id="29" w:name="глава-3.-теоретические-результаты"/>
    <w:p>
      <w:pPr>
        <w:pStyle w:val="Heading1"/>
      </w:pPr>
      <w:r>
        <w:t xml:space="preserve">ГЛАВА 3. ТЕОРЕТИЧЕСКИЕ РЕЗУЛЬТАТЫ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Cs/>
          <w:b/>
        </w:rPr>
        <w:t xml:space="preserve">Балансные условия и обратимость</w:t>
      </w:r>
      <w:r>
        <w:br/>
      </w:r>
      <w:r>
        <w:t xml:space="preserve">- детальный баланс / частичный баланс</w:t>
      </w:r>
      <w:r>
        <w:br/>
      </w:r>
      <w:r>
        <w:t xml:space="preserve">- интерпретация для твоей модели</w:t>
      </w:r>
      <w:r>
        <w:t xml:space="preserve"> </w:t>
      </w:r>
      <w:r>
        <w:t xml:space="preserve">3.2.</w:t>
      </w:r>
      <w:r>
        <w:t xml:space="preserve"> </w:t>
      </w:r>
      <w:r>
        <w:rPr>
          <w:bCs/>
          <w:b/>
        </w:rPr>
        <w:t xml:space="preserve">Теорема 1 (достаточные условия инвариантности)</w:t>
      </w:r>
      <w:r>
        <w:br/>
      </w:r>
      <w:r>
        <w:t xml:space="preserve">- формулировка</w:t>
      </w:r>
      <w:r>
        <w:br/>
      </w:r>
      <w:r>
        <w:t xml:space="preserve">- доказательство (или схема доказательства + условия)</w:t>
      </w:r>
      <w:r>
        <w:t xml:space="preserve"> </w:t>
      </w:r>
      <w:r>
        <w:t xml:space="preserve">3.3.</w:t>
      </w:r>
      <w:r>
        <w:t xml:space="preserve"> </w:t>
      </w:r>
      <w:r>
        <w:rPr>
          <w:bCs/>
          <w:b/>
        </w:rPr>
        <w:t xml:space="preserve">Контрпримеры (когда инвариантность ломается)</w:t>
      </w:r>
      <w:r>
        <w:br/>
      </w:r>
      <w:r>
        <w:t xml:space="preserve">- конкретные семейства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где форма обслуживания начинает влиять</w:t>
      </w:r>
      <w:r>
        <w:t xml:space="preserve"> </w:t>
      </w:r>
      <w:r>
        <w:t xml:space="preserve">3.4.</w:t>
      </w:r>
      <w:r>
        <w:t xml:space="preserve"> </w:t>
      </w:r>
      <w:r>
        <w:rPr>
          <w:bCs/>
          <w:b/>
        </w:rPr>
        <w:t xml:space="preserve">Оценки отклонения («почти-инсензитивность»)</w:t>
      </w:r>
      <w:r>
        <w:br/>
      </w:r>
      <w:r>
        <w:t xml:space="preserve">- границы TV/KL (или различий моментов) через параметры модели/распределения</w:t>
      </w:r>
      <w:r>
        <w:t xml:space="preserve"> </w:t>
      </w:r>
      <w:r>
        <w:t xml:space="preserve">3.5.</w:t>
      </w:r>
      <w:r>
        <w:t xml:space="preserve"> </w:t>
      </w:r>
      <w:r>
        <w:rPr>
          <w:bCs/>
          <w:b/>
        </w:rPr>
        <w:t xml:space="preserve">Частные семейства</w:t>
      </w:r>
      <w:r>
        <w:rPr>
          <w:bCs/>
          <w:b/>
        </w:rP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и выводы</w:t>
      </w:r>
      <w:r>
        <w:br/>
      </w:r>
      <w:r>
        <w:t xml:space="preserve">- линейные, пороговые, насыщаемые</w:t>
      </w:r>
      <w:r>
        <w:br/>
      </w:r>
      <w:r>
        <w:t xml:space="preserve">- таблица: «условия выполняются / не выполняются / что происходит»</w:t>
      </w:r>
    </w:p>
    <w:p>
      <w:r>
        <w:pict>
          <v:rect style="width:0;height:1.5pt" o:hralign="center" o:hrstd="t" o:hr="t"/>
        </w:pict>
      </w:r>
    </w:p>
    <w:bookmarkEnd w:id="29"/>
    <w:bookmarkStart w:id="30" w:name="Xd3236ce035d6d0602c9c49b46e6e0f59766fac8"/>
    <w:p>
      <w:pPr>
        <w:pStyle w:val="Heading1"/>
      </w:pPr>
      <w:r>
        <w:t xml:space="preserve">ГЛАВА 4. ИМИТАЦИОННОЕ МОДЕЛИРОВАНИЕ И ВАЛИДАЦИЯ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Cs/>
          <w:b/>
        </w:rPr>
        <w:t xml:space="preserve">DES-симулятор: логика событий и реализация</w:t>
      </w:r>
      <w:r>
        <w:br/>
      </w:r>
      <w:r>
        <w:t xml:space="preserve">4.2.</w:t>
      </w:r>
      <w:r>
        <w:t xml:space="preserve"> </w:t>
      </w:r>
      <w:r>
        <w:rPr>
          <w:bCs/>
          <w:b/>
        </w:rPr>
        <w:t xml:space="preserve">Верификация на эталонных случаях</w:t>
      </w:r>
      <w:r>
        <w:br/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(где можно проверить аналитически)</w:t>
      </w:r>
      <w:r>
        <w:t xml:space="preserve"> </w:t>
      </w:r>
      <w:r>
        <w:t xml:space="preserve">4.3.</w:t>
      </w:r>
      <w:r>
        <w:t xml:space="preserve"> </w:t>
      </w:r>
      <w:r>
        <w:rPr>
          <w:bCs/>
          <w:b/>
        </w:rPr>
        <w:t xml:space="preserve">Сценарии экспериментов</w:t>
      </w:r>
      <w:r>
        <w:br/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, формы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br/>
      </w:r>
      <w:r>
        <w:t xml:space="preserve">- законы обслуживания: Exp / Erlang / Hyper-Exp / Deterministic (с одинаковым средним)</w:t>
      </w:r>
      <w:r>
        <w:t xml:space="preserve"> </w:t>
      </w:r>
      <w:r>
        <w:t xml:space="preserve">4.4.</w:t>
      </w:r>
      <w:r>
        <w:t xml:space="preserve"> </w:t>
      </w:r>
      <w:r>
        <w:rPr>
          <w:bCs/>
          <w:b/>
        </w:rPr>
        <w:t xml:space="preserve">Методика получения стационара</w:t>
      </w:r>
      <w:r>
        <w:br/>
      </w:r>
      <w:r>
        <w:t xml:space="preserve">- разгон, батч-средние, доверительные интервалы</w:t>
      </w:r>
      <w:r>
        <w:br/>
      </w:r>
      <w:r>
        <w:t xml:space="preserve">- критерий остановки/сходимости</w:t>
      </w:r>
    </w:p>
    <w:p>
      <w:r>
        <w:pict>
          <v:rect style="width:0;height:1.5pt" o:hralign="center" o:hrstd="t" o:hr="t"/>
        </w:pict>
      </w:r>
    </w:p>
    <w:bookmarkEnd w:id="30"/>
    <w:bookmarkStart w:id="31" w:name="Xf392ddecb935f2d627d45dc3950561ad99fab78"/>
    <w:p>
      <w:pPr>
        <w:pStyle w:val="Heading1"/>
      </w:pPr>
      <w:r>
        <w:t xml:space="preserve">ГЛАВА 5. ЭКСПЕРИМЕНТЫ, АНАЛИЗ ЧУВСТВИТЕЛЬНОСТИ И ПРИКЛАДНАЯ ИНТЕРПРЕТАЦИЯ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Cs/>
          <w:b/>
        </w:rPr>
        <w:t xml:space="preserve">Сравнение</w:t>
      </w:r>
      <w:r>
        <w:rPr>
          <w:bCs/>
          <w:b/>
        </w:rPr>
        <w:t xml:space="preserve"> </w:t>
      </w:r>
      <m:oMath>
        <m:r>
          <m:t>π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при разных законах обслуживания</w:t>
      </w:r>
      <w:r>
        <w:br/>
      </w:r>
      <w:r>
        <w:t xml:space="preserve">- графики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5.2.</w:t>
      </w:r>
      <w:r>
        <w:t xml:space="preserve"> </w:t>
      </w:r>
      <w:r>
        <w:rPr>
          <w:bCs/>
          <w:b/>
        </w:rPr>
        <w:t xml:space="preserve">«Зоны почти-инвариантности»</w:t>
      </w:r>
      <w:r>
        <w:br/>
      </w:r>
      <w:r>
        <w:t xml:space="preserve">- карты/таблицы, где отклонение ≤ ε</w:t>
      </w:r>
      <w:r>
        <w:t xml:space="preserve"> </w:t>
      </w:r>
      <w:r>
        <w:t xml:space="preserve">5.3.</w:t>
      </w:r>
      <w:r>
        <w:t xml:space="preserve"> </w:t>
      </w:r>
      <w:r>
        <w:rPr>
          <w:bCs/>
          <w:b/>
        </w:rPr>
        <w:t xml:space="preserve">Анализ чувствительности</w:t>
      </w:r>
      <w:r>
        <w:br/>
      </w:r>
      <w:r>
        <w:t xml:space="preserve">- влияние</w:t>
      </w:r>
      <w:r>
        <w:t xml:space="preserve"> </w:t>
      </w:r>
      <m:oMath>
        <m:r>
          <m:t>K</m:t>
        </m:r>
      </m:oMath>
      <w:r>
        <w:t xml:space="preserve">, формы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вариативности обслуживания</w:t>
      </w:r>
      <w:r>
        <w:t xml:space="preserve"> </w:t>
      </w:r>
      <w:r>
        <w:t xml:space="preserve">5.4.</w:t>
      </w:r>
      <w:r>
        <w:t xml:space="preserve"> </w:t>
      </w:r>
      <w:r>
        <w:rPr>
          <w:bCs/>
          <w:b/>
        </w:rPr>
        <w:t xml:space="preserve">Прикладная интерпретация</w:t>
      </w:r>
      <w:r>
        <w:br/>
      </w:r>
      <w:r>
        <w:t xml:space="preserve">- mapping на системы с ограниченными ресурсами (связь/вычисления)</w:t>
      </w:r>
      <w:r>
        <w:br/>
      </w:r>
      <w:r>
        <w:t xml:space="preserve">- как интерпретировать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как admission,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как скорость обслуживания при нагрузке</w:t>
      </w:r>
      <w:r>
        <w:t xml:space="preserve"> </w:t>
      </w:r>
      <w:r>
        <w:t xml:space="preserve">5.5.</w:t>
      </w:r>
      <w:r>
        <w:t xml:space="preserve"> </w:t>
      </w:r>
      <w:r>
        <w:rPr>
          <w:bCs/>
          <w:b/>
        </w:rPr>
        <w:t xml:space="preserve">Практические рекомендации</w:t>
      </w:r>
      <w:r>
        <w:br/>
      </w:r>
      <w:r>
        <w:t xml:space="preserve">- где можно упрощать модель до экспоненциальной</w:t>
      </w:r>
      <w:r>
        <w:br/>
      </w:r>
      <w:r>
        <w:t xml:space="preserve">- где форма распределения критична</w:t>
      </w:r>
    </w:p>
    <w:p>
      <w:r>
        <w:pict>
          <v:rect style="width:0;height:1.5pt" o:hralign="center" o:hrstd="t" o:hr="t"/>
        </w:pict>
      </w:r>
    </w:p>
    <w:bookmarkEnd w:id="31"/>
    <w:bookmarkStart w:id="32" w:name="заключение"/>
    <w:p>
      <w:pPr>
        <w:pStyle w:val="Heading1"/>
      </w:pPr>
      <w:r>
        <w:t xml:space="preserve">ЗАКЛЮЧЕНИЕ</w:t>
      </w:r>
    </w:p>
    <w:p>
      <w:pPr>
        <w:numPr>
          <w:ilvl w:val="0"/>
          <w:numId w:val="1005"/>
        </w:numPr>
        <w:pStyle w:val="Compact"/>
      </w:pPr>
      <w:r>
        <w:t xml:space="preserve">Сводные выводы по задачам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Научная новизна (коротко)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Практическая значимость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Направления дальнейшей работы</w:t>
      </w:r>
    </w:p>
    <w:p>
      <w:r>
        <w:pict>
          <v:rect style="width:0;height:1.5pt" o:hralign="center" o:hrstd="t" o:hr="t"/>
        </w:pict>
      </w:r>
    </w:p>
    <w:bookmarkEnd w:id="32"/>
    <w:bookmarkStart w:id="33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(оформить по ГОСТ / требованиям кафедры)</w:t>
      </w:r>
    </w:p>
    <w:p>
      <w:r>
        <w:pict>
          <v:rect style="width:0;height:1.5pt" o:hralign="center" o:hrstd="t" o:hr="t"/>
        </w:pict>
      </w:r>
    </w:p>
    <w:bookmarkEnd w:id="33"/>
    <w:bookmarkStart w:id="34" w:name="приложения"/>
    <w:p>
      <w:pPr>
        <w:pStyle w:val="Heading1"/>
      </w:pPr>
      <w:r>
        <w:t xml:space="preserve">ПРИЛОЖЕНИЯ</w:t>
      </w:r>
    </w:p>
    <w:p>
      <w:pPr>
        <w:pStyle w:val="FirstParagraph"/>
      </w:pPr>
      <w:r>
        <w:t xml:space="preserve">Приложение А. Таблицы параметров экспериментов</w:t>
      </w:r>
      <w:r>
        <w:br/>
      </w:r>
      <w:r>
        <w:t xml:space="preserve">Приложение Б. Дополнительные доказательства / выкладки</w:t>
      </w:r>
      <w:r>
        <w:br/>
      </w:r>
      <w:r>
        <w:t xml:space="preserve">Приложение В. Листинги кода / псевдокод DES</w:t>
      </w:r>
      <w:r>
        <w:br/>
      </w:r>
      <w:r>
        <w:t xml:space="preserve">Приложение Г. Дополнительные графики и таблицы</w:t>
      </w:r>
    </w:p>
    <w:bookmarkEnd w:id="34"/>
    <w:sectPr>
      <w:footerReference r:id="rId9" w:type="default"/>
      <w:pgSz w:h="15840" w:w="12240"/>
      <w:pgMar w:bottom="1134" w:footer="720" w:gutter="0" w:header="720" w:left="1701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eastAsia="Times New Roman"/>
        <w:sz w:val="28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360" w:lineRule="auto"/>
      <w:ind w:firstLine="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360" w:lineRule="auto"/>
      <w:ind w:firstLine="0"/>
      <w:jc w:val="left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360" w:lineRule="auto"/>
      <w:ind w:firstLine="0"/>
      <w:jc w:val="left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2026-03-20T16:50:22Z</dcterms:created>
  <dcterms:modified xsi:type="dcterms:W3CDTF">2026-03-20T16:50:22Z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