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РОССИЙСКОЙ ФЕДЕРАЦИИ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ОБРАЗОВАТЕЛЬНОЕ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УЧРЕЖДЕНИЕ ВЫСШЕГО ОБРАЗОВАНИЯ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«РОССИЙСКИЙ УНИВЕРСИТЕТ ДРУЖБЫ НАРОДОВ»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физико-математических и естественных наук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прикладной информатики и теории вероятностей</w:t>
      </w:r>
    </w:p>
    <w:p>
      <w:pPr>
        <w:spacing w:after="360"/>
      </w:pP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«Допустить к защите»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Заведующий кафедрой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прикладной информатики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и теории вероятностей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д.т.н., профессор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______________  К.Е. Самуйлов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i w:val="0"/>
          <w:sz w:val="28"/>
        </w:rPr>
        <w:t>«___» __________ 20__ г.</w:t>
      </w:r>
    </w:p>
    <w:p>
      <w:pPr>
        <w:spacing w:after="36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Выпускная квалификационная работа</w:t>
      </w:r>
    </w:p>
    <w:p>
      <w:pPr>
        <w:spacing w:line="240" w:lineRule="auto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магистра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Направление 01.04.02 «Прикладная математика и информатика»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Магистерская программа «Теория вероятностей и математическая</w:t>
      </w:r>
    </w:p>
    <w:p>
      <w:pPr>
        <w:spacing w:line="240" w:lineRule="auto" w:after="2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статистика»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6"/>
        </w:rPr>
        <w:t>ТЕМА «Инвариантность стационарного распределения для системы с ограниченными ресурсами и state-dependent λ(n), μ(n)»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Выполнил студент Лобов Михаил Сергеевич</w:t>
            </w:r>
          </w:p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Группа НПМмд-02</w:t>
            </w:r>
          </w:p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Студ. билет № 1332249565</w:t>
            </w:r>
          </w:p>
          <w:p>
            <w:pPr>
              <w:spacing w:line="240" w:lineRule="auto"/>
              <w:ind w:firstLine="0" w:left="0"/>
              <w:jc w:val="left"/>
            </w:pPr>
          </w:p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Автор ______________________</w:t>
            </w:r>
          </w:p>
          <w:p>
            <w:pPr>
              <w:spacing w:line="240" w:lineRule="auto"/>
              <w:ind w:firstLine="0" w:left="0"/>
              <w:jc w:val="left"/>
            </w:pPr>
            <w:r>
              <w:rPr>
                <w:rFonts w:ascii="Times New Roman" w:hAnsi="Times New Roman" w:eastAsia="Times New Roman"/>
                <w:i/>
                <w:sz w:val="28"/>
              </w:rPr>
              <w:t>(Подпись)</w:t>
            </w:r>
          </w:p>
        </w:tc>
        <w:tc>
          <w:tcPr>
            <w:tcW w:type="dxa" w:w="4844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Руководитель выпускной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квалификационной работы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______________________________________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sz w:val="28"/>
              </w:rPr>
              <w:t>(Ф.И.О., степень, звание, должность)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sz w:val="28"/>
              </w:rPr>
              <w:t>__________________________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sz w:val="28"/>
              </w:rPr>
              <w:t>(Подпись)</w:t>
            </w:r>
          </w:p>
        </w:tc>
      </w:tr>
    </w:tbl>
    <w:p>
      <w:pPr>
        <w:spacing w:after="48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Москва</w:t>
      </w:r>
    </w:p>
    <w:p>
      <w:pPr>
        <w:spacing w:line="240" w:lineRule="auto" w:after="0"/>
        <w:ind w:firstLine="0"/>
        <w:jc w:val="center"/>
      </w:pPr>
      <w:r>
        <w:t>2026 г.</w:t>
      </w:r>
    </w:p>
    <w:p>
      <w:pPr>
        <w:sectPr>
          <w:footerReference w:type="default" r:id="rId9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Реферат</w:t>
      </w:r>
    </w:p>
    <w:p>
      <w:pPr>
        <w:spacing w:line="360" w:lineRule="auto"/>
        <w:ind w:firstLine="0" w:left="0"/>
        <w:jc w:val="left"/>
      </w:pPr>
      <w:r>
        <w:rPr>
          <w:b/>
        </w:rPr>
        <w:t>Объект исследования:</w:t>
      </w:r>
      <w:r>
        <w:t xml:space="preserve"> системы массового обслуживания с ограниченными ресурсами (ёмкостью) и зависящими от состояния интенсивностями.</w:t>
      </w:r>
    </w:p>
    <w:p>
      <w:pPr>
        <w:spacing w:line="360" w:lineRule="auto"/>
        <w:ind w:firstLine="0" w:left="0"/>
        <w:jc w:val="left"/>
      </w:pPr>
      <w:r>
        <w:rPr>
          <w:b/>
        </w:rPr>
        <w:t>Предмет исследования:</w:t>
      </w:r>
      <w:r>
        <w:t xml:space="preserve"> условия инвариантности (insensitivity) стационарного распределения к форме закона обслуживания при state-dependent λ(n), μ(n).</w:t>
      </w:r>
    </w:p>
    <w:p>
      <w:pPr>
        <w:spacing w:line="360" w:lineRule="auto"/>
        <w:ind w:firstLine="0" w:left="0"/>
        <w:jc w:val="left"/>
      </w:pPr>
      <w:r>
        <w:rPr>
          <w:b/>
        </w:rPr>
        <w:t>Цель:</w:t>
      </w:r>
      <w:r>
        <w:t xml:space="preserve"> установить достаточные (и частично необходимые) условия, при которых стационарное распределение π(n) не зависит (или почти не зависит) от формы распределения обслуживания.</w:t>
      </w:r>
    </w:p>
    <w:p>
      <w:pPr>
        <w:spacing w:line="360" w:lineRule="auto"/>
        <w:ind w:firstLine="0" w:left="0"/>
        <w:jc w:val="left"/>
      </w:pPr>
      <w:r>
        <w:rPr>
          <w:b/>
        </w:rPr>
        <w:t>Задачи:</w:t>
      </w:r>
      <w:r>
        <w:t xml:space="preserve"> формализовать модель; определить инвариантность/почти‑инвариантность; получить достаточные условия; построить контрпримеры; разработать DES‑симулятор; провести эксперименты и анализ чувствительности; дать прикладную интерпретацию.</w:t>
      </w:r>
    </w:p>
    <w:p>
      <w:pPr>
        <w:spacing w:line="360" w:lineRule="auto"/>
        <w:ind w:firstLine="0" w:left="0"/>
        <w:jc w:val="left"/>
      </w:pPr>
      <w:r>
        <w:rPr>
          <w:b/>
        </w:rPr>
        <w:t>Методы:</w:t>
      </w:r>
      <w:r>
        <w:t xml:space="preserve"> детальный/частичный баланс, обратимость/квазиреверсивность, сравнение стационаров (TV/KL), имитационное моделирование (DES), анализ чувствительности.</w:t>
      </w:r>
    </w:p>
    <w:p>
      <w:pPr>
        <w:spacing w:line="360" w:lineRule="auto"/>
        <w:ind w:firstLine="0" w:left="0"/>
        <w:jc w:val="left"/>
      </w:pPr>
      <w:r>
        <w:rPr>
          <w:b/>
        </w:rPr>
        <w:t>Результаты:</w:t>
      </w:r>
      <w:r>
        <w:t xml:space="preserve"> теорема о достаточных условиях; контрпример; области «почти‑инвариантности»; симулятор; практические рекомендации.</w:t>
      </w:r>
    </w:p>
    <w:p>
      <w:pPr>
        <w:spacing w:line="360" w:lineRule="auto"/>
        <w:ind w:firstLine="0" w:left="0"/>
        <w:jc w:val="left"/>
      </w:pPr>
      <w:r>
        <w:rPr>
          <w:b/>
        </w:rPr>
        <w:t>Ключевые слова:</w:t>
      </w:r>
      <w:r>
        <w:t xml:space="preserve"> стационарное распределение, инвариантность, insensitivity, очереди, state-dependent интенсивности, ограниченная ёмкость, отказ, DES.</w:t>
      </w:r>
    </w:p>
    <w:p>
      <w:pPr>
        <w:spacing w:line="360" w:lineRule="auto"/>
        <w:ind w:firstLine="0" w:left="0"/>
        <w:jc w:val="left"/>
      </w:pPr>
      <w:r>
        <w:rPr>
          <w:b/>
        </w:rPr>
        <w:t>Объём:</w:t>
      </w:r>
      <w:r>
        <w:t xml:space="preserve"> ___ стр., ___ рис., ___ табл., ___ источников, ___ приложений.</w:t>
      </w:r>
    </w:p>
    <w:p>
      <w:pPr/>
      <w:r>
        <w:br w:type="page"/>
      </w:r>
    </w:p>
    <w:p>
      <w:pPr>
        <w:pStyle w:val="Heading1"/>
        <w:ind w:firstLine="0"/>
        <w:jc w:val="center"/>
      </w:pPr>
      <w:r>
        <w:t>Содержание</w:t>
      </w:r>
    </w:p>
    <w:p>
      <w:pPr>
        <w:ind w:firstLine="0"/>
        <w:jc w:val="left"/>
      </w:pPr>
      <w:r>
        <w:rPr>
          <w:rFonts w:ascii="Times New Roman" w:hAnsi="Times New Roman" w:eastAsia="Times New Roman"/>
          <w:sz w:val="28"/>
        </w:rPr>
        <w:fldChar w:fldCharType="begin"/>
        <w:instrText xml:space="preserve"> TOC \o "1-3" \h \z \u </w:instrText>
        <w:fldChar w:fldCharType="separate"/>
        <w:t>Обновите оглавление: Ctrl+A → F9</w:t>
        <w:fldChar w:fldCharType="end"/>
      </w:r>
    </w:p>
    <w:p>
      <w:pPr/>
      <w:r>
        <w:br w:type="page"/>
      </w:r>
    </w:p>
    <w:p>
      <w:pPr>
        <w:pStyle w:val="Heading1"/>
      </w:pPr>
      <w:r>
        <w:t>Список сокращений и обозначений</w:t>
      </w:r>
    </w:p>
    <w:p>
      <w:pPr>
        <w:pStyle w:val="ListBullet"/>
      </w:pPr>
      <w:r>
        <w:rPr>
          <w:i/>
        </w:rPr>
        <w:t>K</w:t>
      </w:r>
      <w:r>
        <w:t xml:space="preserve"> — ёмкость системы (максимальное число заявок в системе)</w:t>
      </w:r>
    </w:p>
    <w:p>
      <w:pPr>
        <w:pStyle w:val="ListBullet"/>
      </w:pPr>
      <w:r>
        <w:rPr>
          <w:i/>
        </w:rPr>
        <w:t>n</w:t>
      </w:r>
      <w:r>
        <w:t xml:space="preserve"> — состояние (число заявок)</w:t>
      </w:r>
    </w:p>
    <w:p>
      <w:pPr>
        <w:pStyle w:val="ListBullet"/>
      </w:pPr>
      <w:r>
        <w:rPr>
          <w:i/>
        </w:rPr>
        <w:t>λ(n)</w:t>
      </w:r>
      <w:r>
        <w:t xml:space="preserve"> — интенсивность поступления в состоянии n</w:t>
      </w:r>
    </w:p>
    <w:p>
      <w:pPr>
        <w:pStyle w:val="ListBullet"/>
      </w:pPr>
      <w:r>
        <w:rPr>
          <w:i/>
        </w:rPr>
        <w:t>μ(n)</w:t>
      </w:r>
      <w:r>
        <w:t xml:space="preserve"> — интенсивность обслуживания в состоянии n</w:t>
      </w:r>
    </w:p>
    <w:p>
      <w:pPr>
        <w:pStyle w:val="ListBullet"/>
      </w:pPr>
      <w:r>
        <w:rPr>
          <w:i/>
        </w:rPr>
        <w:t>π(n)</w:t>
      </w:r>
      <w:r>
        <w:t xml:space="preserve"> — стационарная вероятность состояния n</w:t>
      </w:r>
    </w:p>
    <w:p>
      <w:pPr>
        <w:pStyle w:val="ListBullet"/>
      </w:pPr>
      <w:r>
        <w:rPr>
          <w:i/>
        </w:rPr>
        <w:t>E[N], P{N=K}, W</w:t>
      </w:r>
      <w:r>
        <w:t xml:space="preserve"> — метрики качества обслуживания</w:t>
      </w:r>
    </w:p>
    <w:p>
      <w:pPr>
        <w:pStyle w:val="ListBullet"/>
      </w:pPr>
      <w:r>
        <w:rPr>
          <w:i/>
        </w:rPr>
        <w:t>TV, KL</w:t>
      </w:r>
      <w:r>
        <w:t xml:space="preserve"> — меры различия распределений (если используешь)</w:t>
      </w:r>
    </w:p>
    <w:p>
      <w:pPr/>
      <w:r>
        <w:br w:type="page"/>
      </w:r>
    </w:p>
    <w:p>
      <w:pPr>
        <w:pStyle w:val="Heading1"/>
      </w:pPr>
      <w:r>
        <w:t>Введение</w:t>
      </w:r>
    </w:p>
    <w:p>
      <w:pPr/>
      <w:r>
        <w:t>1. Актуальность темы. Ограниченные ресурсы в системах связи/вычислений; необходимость устойчивых оценок качества (отказы, задержки); проблема чувствительности к форме распределений.</w:t>
      </w:r>
    </w:p>
    <w:p>
      <w:pPr/>
      <w:r>
        <w:t>2. Степень разработанности. Insensitivity в классических моделях (Erlang/BCMP/частичный баланс), очереди с ограниченной ёмкостью, state-dependent модели.</w:t>
      </w:r>
    </w:p>
    <w:p>
      <w:pPr/>
      <w:r>
        <w:t>3. Цель работы. (заполнить).</w:t>
      </w:r>
    </w:p>
    <w:p>
      <w:pPr/>
      <w:r>
        <w:t>4. Задачи работы:</w:t>
        <w:br/>
        <w:t xml:space="preserve"> — Формализовать модель M/G/1/K (или выбранный класс) с state-dependent λ(n), μ(n)</w:t>
        <w:br/>
        <w:t xml:space="preserve"> — Определить формально инвариантность/почти‑инвариантность стационара</w:t>
        <w:br/>
        <w:t xml:space="preserve"> — Получить достаточные условия инвариантности</w:t>
        <w:br/>
        <w:t xml:space="preserve"> — Построить контрпримеры нарушения инвариантности</w:t>
        <w:br/>
        <w:t xml:space="preserve"> — Разработать и верифицировать DES‑симулятор</w:t>
        <w:br/>
        <w:t xml:space="preserve"> — Провести серию экспериментов и анализ чувствительности</w:t>
        <w:br/>
        <w:t xml:space="preserve"> — Дать прикладную интерпретацию для систем с ограниченными ресурсами</w:t>
      </w:r>
    </w:p>
    <w:p>
      <w:pPr/>
      <w:r>
        <w:t>5. Объект и предмет исследования. (заполнить).</w:t>
      </w:r>
    </w:p>
    <w:p>
      <w:pPr/>
      <w:r>
        <w:t>6. Научная новизна. (3–6 пунктов).</w:t>
      </w:r>
    </w:p>
    <w:p>
      <w:pPr/>
      <w:r>
        <w:t>7. Теоретическая и практическая значимость. (заполнить).</w:t>
      </w:r>
    </w:p>
    <w:p>
      <w:pPr/>
      <w:r>
        <w:t>8. Положения, выносимые на защиту. (3–6 пунктов).</w:t>
      </w:r>
    </w:p>
    <w:p>
      <w:pPr/>
      <w:r>
        <w:t>9. Апробация и публикации. (по факту).</w:t>
      </w:r>
    </w:p>
    <w:p>
      <w:pPr/>
      <w:r>
        <w:t>10. Структура работы. (кратко).</w:t>
      </w:r>
    </w:p>
    <w:p>
      <w:pPr/>
      <w:r>
        <w:br w:type="page"/>
      </w:r>
    </w:p>
    <w:p>
      <w:pPr>
        <w:pStyle w:val="Heading1"/>
      </w:pPr>
      <w:r>
        <w:t>ГЛАВА 1. ОБЗОР ЛИТЕРАТУРЫ И ТЕОРЕТИЧЕСКИЙ КОНТЕКСТ</w:t>
      </w:r>
    </w:p>
    <w:p>
      <w:pPr>
        <w:pStyle w:val="Heading2"/>
      </w:pPr>
      <w:r>
        <w:t>1.1. Инвариантность (insensitivity) в теории очередей</w:t>
      </w:r>
    </w:p>
    <w:p>
      <w:pPr>
        <w:pStyle w:val="ListBullet"/>
      </w:pPr>
      <w:r>
        <w:t>Что называют insensitivity / инвариантностью стационара.</w:t>
      </w:r>
    </w:p>
    <w:p>
      <w:pPr>
        <w:pStyle w:val="ListBullet"/>
      </w:pPr>
      <w:r>
        <w:t>Где возникает (частичный баланс, product-form).</w:t>
      </w:r>
    </w:p>
    <w:p>
      <w:pPr>
        <w:pStyle w:val="Heading2"/>
      </w:pPr>
      <w:r>
        <w:t>1.2. Очереди с ограниченной ёмкостью K</w:t>
      </w:r>
    </w:p>
    <w:p>
      <w:pPr>
        <w:pStyle w:val="ListBullet"/>
      </w:pPr>
      <w:r>
        <w:t>Отказы, стационар, ключевые метрики.</w:t>
      </w:r>
    </w:p>
    <w:p>
      <w:pPr>
        <w:pStyle w:val="Heading2"/>
      </w:pPr>
      <w:r>
        <w:t>1.3. State-dependent интенсивности λ(n), μ(n)</w:t>
      </w:r>
    </w:p>
    <w:p>
      <w:pPr>
        <w:pStyle w:val="ListBullet"/>
      </w:pPr>
      <w:r>
        <w:t>Мотивация и типовые формы (линейная/пороговая/насыщение).</w:t>
      </w:r>
    </w:p>
    <w:p>
      <w:pPr>
        <w:pStyle w:val="ListBullet"/>
      </w:pPr>
      <w:r>
        <w:t>Примеры из инженерных систем.</w:t>
      </w:r>
    </w:p>
    <w:p>
      <w:pPr>
        <w:pStyle w:val="Heading2"/>
      </w:pPr>
      <w:r>
        <w:t>1.4. Связь с прикладными задачами ограниченных ресурсов</w:t>
      </w:r>
    </w:p>
    <w:p>
      <w:pPr>
        <w:pStyle w:val="ListBullet"/>
      </w:pPr>
      <w:r>
        <w:t>Ресурсные ограничения, admission control, деградация скорости при нагрузке.</w:t>
      </w:r>
    </w:p>
    <w:p>
      <w:pPr/>
      <w:r>
        <w:t>Вывод по главе 1: какие пробелы остаются и что именно делает эта ВКР.</w:t>
      </w:r>
    </w:p>
    <w:p>
      <w:pPr/>
      <w:r>
        <w:br w:type="page"/>
      </w:r>
    </w:p>
    <w:p>
      <w:pPr>
        <w:pStyle w:val="Heading1"/>
      </w:pPr>
      <w:r>
        <w:t>ГЛАВА 2. ПОСТАНОВКА ЗАДАЧИ И МАТЕМАТИЧЕСКАЯ МОДЕЛЬ</w:t>
      </w:r>
    </w:p>
    <w:p>
      <w:pPr>
        <w:pStyle w:val="Heading2"/>
      </w:pPr>
      <w:r>
        <w:t>2.1. Описание модели</w:t>
      </w:r>
    </w:p>
    <w:p>
      <w:pPr>
        <w:pStyle w:val="ListBullet"/>
      </w:pPr>
      <w:r>
        <w:t>Состояние n ∈ {0,…,K}.</w:t>
      </w:r>
    </w:p>
    <w:p>
      <w:pPr>
        <w:pStyle w:val="ListBullet"/>
      </w:pPr>
      <w:r>
        <w:t>Правила поступления и обслуживания.</w:t>
      </w:r>
    </w:p>
    <w:p>
      <w:pPr>
        <w:pStyle w:val="ListBullet"/>
      </w:pPr>
      <w:r>
        <w:t>Отказ при n=K.</w:t>
      </w:r>
    </w:p>
    <w:p>
      <w:pPr>
        <w:pStyle w:val="Heading2"/>
      </w:pPr>
      <w:r>
        <w:t>2.2. Классы λ(n) и μ(n)</w:t>
      </w:r>
    </w:p>
    <w:p>
      <w:pPr>
        <w:pStyle w:val="ListBullet"/>
      </w:pPr>
      <w:r>
        <w:t>Ограничения (неотрицательность, условия существования стационара).</w:t>
      </w:r>
    </w:p>
    <w:p>
      <w:pPr>
        <w:pStyle w:val="Heading2"/>
      </w:pPr>
      <w:r>
        <w:t>2.3. Стационарное распределение π(n)</w:t>
      </w:r>
    </w:p>
    <w:p>
      <w:pPr>
        <w:pStyle w:val="ListBullet"/>
      </w:pPr>
      <w:r>
        <w:t>Определение, условия существования.</w:t>
      </w:r>
    </w:p>
    <w:p>
      <w:pPr>
        <w:pStyle w:val="ListBullet"/>
      </w:pPr>
      <w:r>
        <w:t>Способы вычисления/оценки (аналитика/симуляция).</w:t>
      </w:r>
    </w:p>
    <w:p>
      <w:pPr>
        <w:pStyle w:val="Heading2"/>
      </w:pPr>
      <w:r>
        <w:t>2.4. Метрики качества</w:t>
      </w:r>
    </w:p>
    <w:p>
      <w:pPr>
        <w:pStyle w:val="ListBullet"/>
      </w:pPr>
      <w:r>
        <w:t>E[N], P{N=K}, W и др.</w:t>
      </w:r>
    </w:p>
    <w:p>
      <w:pPr>
        <w:pStyle w:val="Heading2"/>
      </w:pPr>
      <w:r>
        <w:t>2.5. Определения инвариантности и почти-инвариантности</w:t>
      </w:r>
    </w:p>
    <w:p>
      <w:pPr>
        <w:pStyle w:val="ListBullet"/>
      </w:pPr>
      <w:r>
        <w:t>Строгая: π_G(n)=π_{G′}(n) для класса G при фиксированных параметрах.</w:t>
      </w:r>
    </w:p>
    <w:p>
      <w:pPr>
        <w:pStyle w:val="ListBullet"/>
      </w:pPr>
      <w:r>
        <w:t>Почти-инвариантность: ‖π_G−π_{G′}‖ ≤ ε (TV/KL или по метрикам).</w:t>
      </w:r>
    </w:p>
    <w:p>
      <w:pPr/>
      <w:r>
        <w:br w:type="page"/>
      </w:r>
    </w:p>
    <w:p>
      <w:pPr>
        <w:pStyle w:val="Heading1"/>
      </w:pPr>
      <w:r>
        <w:t>ГЛАВА 3. ТЕОРЕТИЧЕСКИЕ РЕЗУЛЬТАТЫ</w:t>
      </w:r>
    </w:p>
    <w:p>
      <w:pPr>
        <w:pStyle w:val="Heading2"/>
      </w:pPr>
      <w:r>
        <w:t>3.1. Балансные условия и обратимость</w:t>
      </w:r>
    </w:p>
    <w:p>
      <w:pPr>
        <w:pStyle w:val="ListBullet"/>
      </w:pPr>
      <w:r>
        <w:t>Детальный баланс / частичный баланс.</w:t>
      </w:r>
    </w:p>
    <w:p>
      <w:pPr>
        <w:pStyle w:val="ListBullet"/>
      </w:pPr>
      <w:r>
        <w:t>Интерпретация для выбранной модели.</w:t>
      </w:r>
    </w:p>
    <w:p>
      <w:pPr>
        <w:pStyle w:val="Heading2"/>
      </w:pPr>
      <w:r>
        <w:t>3.2. Теорема 1: достаточные условия инвариантности</w:t>
      </w:r>
    </w:p>
    <w:p>
      <w:pPr>
        <w:pStyle w:val="ListBullet"/>
      </w:pPr>
      <w:r>
        <w:t>Формулировка.</w:t>
      </w:r>
    </w:p>
    <w:p>
      <w:pPr>
        <w:pStyle w:val="ListBullet"/>
      </w:pPr>
      <w:r>
        <w:t>Доказательство (или схема доказательства + условия).</w:t>
      </w:r>
    </w:p>
    <w:p>
      <w:pPr>
        <w:pStyle w:val="Heading2"/>
      </w:pPr>
      <w:r>
        <w:t>3.3. Контрпримеры</w:t>
      </w:r>
    </w:p>
    <w:p>
      <w:pPr>
        <w:pStyle w:val="ListBullet"/>
      </w:pPr>
      <w:r>
        <w:t>Семейства λ(n),μ(n), где форма обслуживания влияет на π(n).</w:t>
      </w:r>
    </w:p>
    <w:p>
      <w:pPr>
        <w:pStyle w:val="Heading2"/>
      </w:pPr>
      <w:r>
        <w:t>3.4. Оценки отклонения: почти-инсензитивность</w:t>
      </w:r>
    </w:p>
    <w:p>
      <w:pPr>
        <w:pStyle w:val="ListBullet"/>
      </w:pPr>
      <w:r>
        <w:t>Границы TV/KL (или различий моментов) через параметры модели/распределения.</w:t>
      </w:r>
    </w:p>
    <w:p>
      <w:pPr>
        <w:pStyle w:val="Heading2"/>
      </w:pPr>
      <w:r>
        <w:t>3.5. Частные семейства λ(n),μ(n) и выводы</w:t>
      </w:r>
    </w:p>
    <w:p>
      <w:pPr>
        <w:pStyle w:val="ListBullet"/>
      </w:pPr>
      <w:r>
        <w:t>Линейные, пороговые, насыщаемые.</w:t>
      </w:r>
    </w:p>
    <w:p>
      <w:pPr>
        <w:pStyle w:val="ListBullet"/>
      </w:pPr>
      <w:r>
        <w:t>Таблица: «условия выполняются / не выполняются / что происходит».</w:t>
      </w:r>
    </w:p>
    <w:p>
      <w:pPr/>
      <w:r>
        <w:br w:type="page"/>
      </w:r>
    </w:p>
    <w:p>
      <w:pPr>
        <w:pStyle w:val="Heading1"/>
      </w:pPr>
      <w:r>
        <w:t>ГЛАВА 4. ИМИТАЦИОННОЕ МОДЕЛИРОВАНИЕ И ВАЛИДАЦИЯ</w:t>
      </w:r>
    </w:p>
    <w:p>
      <w:pPr>
        <w:pStyle w:val="Heading2"/>
      </w:pPr>
      <w:r>
        <w:t>4.1. DES-симулятор: логика событий и реализация</w:t>
      </w:r>
    </w:p>
    <w:p>
      <w:pPr/>
      <w:r>
        <w:t>Пример текста (заглушка).</w:t>
      </w:r>
    </w:p>
    <w:p>
      <w:pPr>
        <w:pStyle w:val="Heading2"/>
      </w:pPr>
      <w:r>
        <w:t>4.2. Верификация на эталонных случаях</w:t>
      </w:r>
    </w:p>
    <w:p>
      <w:pPr>
        <w:pStyle w:val="ListBullet"/>
      </w:pPr>
      <w:r>
        <w:t>M/M/1/K (проверка с аналитикой).</w:t>
      </w:r>
    </w:p>
    <w:p>
      <w:pPr>
        <w:pStyle w:val="Heading2"/>
      </w:pPr>
      <w:r>
        <w:t>4.3. Сценарии экспериментов</w:t>
      </w:r>
    </w:p>
    <w:p>
      <w:pPr>
        <w:pStyle w:val="ListBullet"/>
      </w:pPr>
      <w:r>
        <w:t>K, формы λ(n), μ(n).</w:t>
      </w:r>
    </w:p>
    <w:p>
      <w:pPr>
        <w:pStyle w:val="ListBullet"/>
      </w:pPr>
      <w:r>
        <w:t>Законы обслуживания: Exp / Erlang / Hyper-Exp / Deterministic (с одинаковым средним).</w:t>
      </w:r>
    </w:p>
    <w:p>
      <w:pPr>
        <w:pStyle w:val="Heading2"/>
      </w:pPr>
      <w:r>
        <w:t>4.4. Методика получения стационара</w:t>
      </w:r>
    </w:p>
    <w:p>
      <w:pPr>
        <w:pStyle w:val="ListBullet"/>
      </w:pPr>
      <w:r>
        <w:t>Разгон, батч‑средние, доверительные интервалы.</w:t>
      </w:r>
    </w:p>
    <w:p>
      <w:pPr>
        <w:pStyle w:val="ListBullet"/>
      </w:pPr>
      <w:r>
        <w:t>Критерий остановки/сходимости.</w:t>
      </w:r>
    </w:p>
    <w:p>
      <w:pPr/>
      <w:r>
        <w:br w:type="page"/>
      </w:r>
    </w:p>
    <w:p>
      <w:pPr>
        <w:pStyle w:val="Heading1"/>
      </w:pPr>
      <w:r>
        <w:t>ГЛАВА 5. ЭКСПЕРИМЕНТЫ, АНАЛИЗ ЧУВСТВИТЕЛЬНОСТИ И ПРИКЛАДНАЯ ИНТЕРПРЕТАЦИЯ</w:t>
      </w:r>
    </w:p>
    <w:p>
      <w:pPr>
        <w:pStyle w:val="Heading2"/>
      </w:pPr>
      <w:r>
        <w:t>5.1. Сравнение π(n) при разных законах обслуживания</w:t>
      </w:r>
    </w:p>
    <w:p>
      <w:pPr>
        <w:pStyle w:val="ListBullet"/>
      </w:pPr>
      <w:r>
        <w:t>Графики π(n), E[N], P{N=K}, W.</w:t>
      </w:r>
    </w:p>
    <w:p>
      <w:pPr>
        <w:pStyle w:val="Heading2"/>
      </w:pPr>
      <w:r>
        <w:t>5.2. Зоны почти-инвариантности</w:t>
      </w:r>
    </w:p>
    <w:p>
      <w:pPr>
        <w:pStyle w:val="ListBullet"/>
      </w:pPr>
      <w:r>
        <w:t>Карты/таблицы, где отклонение ≤ ε.</w:t>
      </w:r>
    </w:p>
    <w:p>
      <w:pPr>
        <w:pStyle w:val="Heading2"/>
      </w:pPr>
      <w:r>
        <w:t>5.3. Анализ чувствительности</w:t>
      </w:r>
    </w:p>
    <w:p>
      <w:pPr>
        <w:pStyle w:val="ListBullet"/>
      </w:pPr>
      <w:r>
        <w:t>Влияние K, формы λ(n),μ(n), вариативности обслуживания.</w:t>
      </w:r>
    </w:p>
    <w:p>
      <w:pPr>
        <w:pStyle w:val="Heading2"/>
      </w:pPr>
      <w:r>
        <w:t>5.4. Прикладная интерпретация</w:t>
      </w:r>
    </w:p>
    <w:p>
      <w:pPr>
        <w:pStyle w:val="ListBullet"/>
      </w:pPr>
      <w:r>
        <w:t>Mapping на системы с ограниченными ресурсами (связь/вычисления).</w:t>
      </w:r>
    </w:p>
    <w:p>
      <w:pPr>
        <w:pStyle w:val="ListBullet"/>
      </w:pPr>
      <w:r>
        <w:t>Интерпретация λ(n) как admission, μ(n) как скорость обслуживания при нагрузке.</w:t>
      </w:r>
    </w:p>
    <w:p>
      <w:pPr>
        <w:pStyle w:val="Heading2"/>
      </w:pPr>
      <w:r>
        <w:t>5.5. Практические рекомендации</w:t>
      </w:r>
    </w:p>
    <w:p>
      <w:pPr>
        <w:pStyle w:val="ListBullet"/>
      </w:pPr>
      <w:r>
        <w:t>Где можно упрощать модель до экспоненциальной.</w:t>
      </w:r>
    </w:p>
    <w:p>
      <w:pPr>
        <w:pStyle w:val="ListBullet"/>
      </w:pPr>
      <w:r>
        <w:t>Где форма распределения критична.</w:t>
      </w:r>
    </w:p>
    <w:p>
      <w:pPr/>
      <w:r>
        <w:br w:type="page"/>
      </w:r>
    </w:p>
    <w:p>
      <w:pPr>
        <w:pStyle w:val="Heading1"/>
      </w:pPr>
      <w:r>
        <w:t>Заключение</w:t>
      </w:r>
    </w:p>
    <w:p>
      <w:pPr>
        <w:pStyle w:val="ListBullet"/>
      </w:pPr>
      <w:r>
        <w:t>Сводные выводы по задачам.</w:t>
      </w:r>
    </w:p>
    <w:p>
      <w:pPr>
        <w:pStyle w:val="ListBullet"/>
      </w:pPr>
      <w:r>
        <w:t>Научная новизна (кратко).</w:t>
      </w:r>
    </w:p>
    <w:p>
      <w:pPr>
        <w:pStyle w:val="ListBullet"/>
      </w:pPr>
      <w:r>
        <w:t>Практическая значимость.</w:t>
      </w:r>
    </w:p>
    <w:p>
      <w:pPr>
        <w:pStyle w:val="ListBullet"/>
      </w:pPr>
      <w:r>
        <w:t>Направления дальнейшей работы.</w:t>
      </w:r>
    </w:p>
    <w:p>
      <w:pPr/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/>
      <w:r>
        <w:t>1. Пример источника. — М.: Издательство, 2026. — 123 с.</w:t>
      </w:r>
    </w:p>
    <w:p>
      <w:pPr/>
      <w:r>
        <w:br w:type="page"/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Таблицы параметров экспериментов</w:t>
      </w:r>
    </w:p>
    <w:p>
      <w:pPr/>
      <w:r>
        <w:t>Пример текста (заглушка).</w:t>
      </w:r>
    </w:p>
    <w:p>
      <w:pPr>
        <w:pStyle w:val="Heading2"/>
      </w:pPr>
      <w:r>
        <w:t>Приложение Б. Дополнительные доказательства / выкладки</w:t>
      </w:r>
    </w:p>
    <w:p>
      <w:pPr/>
      <w:r>
        <w:t>Пример текста (заглушка).</w:t>
      </w:r>
    </w:p>
    <w:p>
      <w:pPr>
        <w:pStyle w:val="Heading2"/>
      </w:pPr>
      <w:r>
        <w:t>Приложение В. Листинги кода / псевдокод DES</w:t>
      </w:r>
    </w:p>
    <w:p>
      <w:pPr/>
      <w:r>
        <w:t>Пример текста (заглушка).</w:t>
      </w:r>
    </w:p>
    <w:p>
      <w:pPr>
        <w:pStyle w:val="Heading2"/>
      </w:pPr>
      <w:r>
        <w:t>Приложение Г. Дополнительные графики и таблицы</w:t>
      </w:r>
    </w:p>
    <w:p>
      <w:pPr/>
      <w:r>
        <w:t>Пример текста (заглушка).</w:t>
      </w:r>
    </w:p>
    <w:sectPr w:rsidR="00FC693F" w:rsidRPr="0006063C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eastAsia="Times New Roman"/>
        <w:sz w:val="28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