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Practical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набор базовых приемов набора математических формул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, а именно: работу в математическом режиме (inline и display) использование расширения пакета amsmath, вывод греческих букв, применение различных математических шрифтов (в т.ч. с вложенностью), а также настройку оформления формул с помощью опций класса документа (fleqn, lenqo).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Создать документ .tex со следующими приемами:</w:t>
      </w:r>
    </w:p>
    <w:p>
      <w:pPr>
        <w:numPr>
          <w:ilvl w:val="0"/>
          <w:numId w:val="1001"/>
        </w:numPr>
        <w:pStyle w:val="Compact"/>
      </w:pPr>
      <w:r>
        <w:t xml:space="preserve">Переклчать примеры формул между inline- и display- режимами, посмотреть различия.</w:t>
      </w:r>
    </w:p>
    <w:p>
      <w:pPr>
        <w:numPr>
          <w:ilvl w:val="0"/>
          <w:numId w:val="1001"/>
        </w:numPr>
        <w:pStyle w:val="Compact"/>
      </w:pPr>
      <w:r>
        <w:t xml:space="preserve">Добавить греческие буквы в разных регистрах.</w:t>
      </w:r>
    </w:p>
    <w:p>
      <w:pPr>
        <w:numPr>
          <w:ilvl w:val="0"/>
          <w:numId w:val="1001"/>
        </w:numPr>
        <w:pStyle w:val="Compact"/>
      </w:pPr>
      <w:r>
        <w:t xml:space="preserve">Проверить команды смены математических шрифтов и посмотеть, что происходит при вложенности.</w:t>
      </w:r>
    </w:p>
    <w:p>
      <w:pPr>
        <w:numPr>
          <w:ilvl w:val="0"/>
          <w:numId w:val="1001"/>
        </w:numPr>
        <w:pStyle w:val="Compact"/>
      </w:pPr>
      <w:r>
        <w:t xml:space="preserve">Изменть выравнивание формул опцией [fleqn].</w:t>
      </w:r>
    </w:p>
    <w:p>
      <w:pPr>
        <w:numPr>
          <w:ilvl w:val="0"/>
          <w:numId w:val="1001"/>
        </w:numPr>
        <w:pStyle w:val="Compact"/>
      </w:pPr>
      <w:r>
        <w:t xml:space="preserve">Изменить размещение номеров форму опцией [leqno].</w:t>
      </w:r>
    </w:p>
    <w:p>
      <w:pPr>
        <w:numPr>
          <w:ilvl w:val="0"/>
          <w:numId w:val="1001"/>
        </w:numPr>
        <w:pStyle w:val="Compact"/>
      </w:pPr>
      <w:r>
        <w:t xml:space="preserve">Подготовить русскую и английскую версии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документа, скомпилировать PDF файл, заполнить отчет и презентацию, опубликовать материалы.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Математический режим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предназначен для логичного набора формул: пробелы внутри формул игнорируются, а типографическе отступы между математическоими символами подбираются автоматически. Формулы можно набирать в тексте (inline) и отдельно в строке (display). Для более сложных конструкций часто используют пакет amsmath, который добавляет окружения выравнивания (</w:t>
      </w:r>
      <w:r>
        <w:rPr>
          <w:rStyle w:val="VerbatimChar"/>
        </w:rPr>
        <w:t xml:space="preserve">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), матрицы и команды для типовых математических объектов.</w:t>
      </w:r>
    </w:p>
    <w:p>
      <w:pPr>
        <w:pStyle w:val="BodyText"/>
      </w:pPr>
      <w:r>
        <w:t xml:space="preserve">В формулах смена шрифта можент нести смысловую нагрузку (например,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как дифференциал,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как множество и так далее).</w:t>
      </w:r>
    </w:p>
    <w:bookmarkEnd w:id="22"/>
    <w:bookmarkStart w:id="31" w:name="выполнение-лаборатоной-работы"/>
    <w:p>
      <w:pPr>
        <w:pStyle w:val="Heading1"/>
      </w:pPr>
      <w:r>
        <w:t xml:space="preserve">Выполнение лаборатоной работы</w:t>
      </w:r>
    </w:p>
    <w:bookmarkStart w:id="23" w:name="inline-и-display-математика"/>
    <w:p>
      <w:pPr>
        <w:pStyle w:val="Heading2"/>
      </w:pPr>
      <w:r>
        <w:t xml:space="preserve">1. Inline и display математика</w:t>
      </w:r>
    </w:p>
    <w:p>
      <w:pPr>
        <w:pStyle w:val="FirstParagraph"/>
      </w:pPr>
      <w:r>
        <w:t xml:space="preserve">Проверено влияние режима на внешний вид формул:</w:t>
      </w:r>
    </w:p>
    <w:p>
      <w:pPr>
        <w:numPr>
          <w:ilvl w:val="0"/>
          <w:numId w:val="1002"/>
        </w:numPr>
      </w:pPr>
      <w:r>
        <w:t xml:space="preserve">inline-формулы</w:t>
      </w:r>
      <w:r>
        <w:t xml:space="preserve"> </w:t>
      </w:r>
      <w:r>
        <w:t xml:space="preserve">“</w:t>
      </w:r>
      <w:r>
        <w:t xml:space="preserve">встраиваются</w:t>
      </w:r>
      <w:r>
        <w:t xml:space="preserve">”</w:t>
      </w:r>
      <w:r>
        <w:t xml:space="preserve"> </w:t>
      </w:r>
      <w:r>
        <w:t xml:space="preserve">в строку и стараются не разрывать межстрочный интервал;</w:t>
      </w:r>
    </w:p>
    <w:p>
      <w:pPr>
        <w:numPr>
          <w:ilvl w:val="0"/>
          <w:numId w:val="1002"/>
        </w:numPr>
      </w:pPr>
      <w:r>
        <w:t xml:space="preserve">display-формулы выделяются отдельным блоком и визуально читаются лучше для</w:t>
      </w:r>
      <w:r>
        <w:t xml:space="preserve"> </w:t>
      </w:r>
      <w:r>
        <w:t xml:space="preserve">“</w:t>
      </w:r>
      <w:r>
        <w:t xml:space="preserve">крупных</w:t>
      </w:r>
      <w:r>
        <w:t xml:space="preserve">”</w:t>
      </w:r>
      <w:r>
        <w:t xml:space="preserve"> </w:t>
      </w:r>
      <w:r>
        <w:t xml:space="preserve">выражений</w:t>
      </w:r>
    </w:p>
    <w:p>
      <w:pPr>
        <w:pStyle w:val="FirstParagraph"/>
      </w:pPr>
      <w:r>
        <w:t xml:space="preserve">Пример: (y = mx + c) (inline) и [</w:t>
      </w:r>
      <w:r>
        <w:t xml:space="preserve"> </w:t>
      </w:r>
      <w:r>
        <w:t xml:space="preserve">y = mx + c</w:t>
      </w:r>
      <w:r>
        <w:t xml:space="preserve"> </w:t>
      </w:r>
      <w:r>
        <w:t xml:space="preserve">] (display).</w:t>
      </w:r>
    </w:p>
    <w:bookmarkEnd w:id="23"/>
    <w:bookmarkStart w:id="24" w:name="Xbefa82823f122f61e1c5150ecc4da3fbc0fea6d"/>
    <w:p>
      <w:pPr>
        <w:pStyle w:val="Heading2"/>
      </w:pPr>
      <w:r>
        <w:t xml:space="preserve">2. Верхние и нижние индексы, а также ручные пробелы</w:t>
      </w:r>
    </w:p>
    <w:p>
      <w:pPr>
        <w:pStyle w:val="FirstParagraph"/>
      </w:pPr>
      <w:r>
        <w:t xml:space="preserve">Использованы над- и подстрочные индексы вида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d</m:t>
            </m:r>
          </m:sup>
        </m:sSup>
      </m:oMath>
      <w:r>
        <w:t xml:space="preserve">, а также примеры, показывающие, что пробелы в математичке не</w:t>
      </w:r>
      <w:r>
        <w:t xml:space="preserve"> </w:t>
      </w:r>
      <w:r>
        <w:t xml:space="preserve">“</w:t>
      </w:r>
      <w:r>
        <w:t xml:space="preserve">считываются</w:t>
      </w:r>
      <w:r>
        <w:t xml:space="preserve">”</w:t>
      </w:r>
      <w:r>
        <w:t xml:space="preserve"> </w:t>
      </w:r>
      <w:r>
        <w:t xml:space="preserve">и при необходимости добавляются командами тонких/средних пробелов.</w:t>
      </w:r>
    </w:p>
    <w:bookmarkEnd w:id="24"/>
    <w:bookmarkStart w:id="25" w:name="греческие-буквы"/>
    <w:p>
      <w:pPr>
        <w:pStyle w:val="Heading2"/>
      </w:pPr>
      <w:r>
        <w:t xml:space="preserve">3. Греческие буквы</w:t>
      </w:r>
    </w:p>
    <w:p>
      <w:pPr>
        <w:pStyle w:val="FirstParagraph"/>
      </w:pPr>
      <w:r>
        <w:t xml:space="preserve">Добавлены строчные и прописные символы: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nor/>
              <m:sty m:val="p"/>
            </m:rPr>
            <m:t> or 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r>
            <m:rPr>
              <m:nor/>
              <m:sty m:val="p"/>
            </m:rPr>
            <m:t> and </m:t>
          </m:r>
          <m:sSubSup>
            <m:e>
              <m:r>
                <m:t>x</m:t>
              </m:r>
            </m:e>
            <m:sub>
              <m:r>
                <m:t>n</m:t>
              </m:r>
            </m:sub>
            <m:sup>
              <m:r>
                <m:t>1000</m:t>
              </m:r>
            </m:sup>
          </m:sSubSup>
        </m:oMath>
      </m:oMathPara>
    </w:p>
    <w:bookmarkEnd w:id="25"/>
    <w:bookmarkStart w:id="26" w:name="интеграл-и-аккуратный-dx"/>
    <w:p>
      <w:pPr>
        <w:pStyle w:val="Heading2"/>
      </w:pPr>
      <w:r>
        <w:t xml:space="preserve">4. Интеграл и аккуратный (dx)</w:t>
      </w:r>
    </w:p>
    <w:p>
      <w:pPr>
        <w:pStyle w:val="FirstParagraph"/>
      </w:pPr>
      <w:r>
        <w:t xml:space="preserve">Набран пример интеграла и оформлен дифференциал (dx) с корректным интервалом</w:t>
      </w:r>
    </w:p>
    <w:bookmarkEnd w:id="26"/>
    <w:bookmarkStart w:id="27" w:name="X34062477b1a63ca8a57e9758bec2547aad5fc8e"/>
    <w:p>
      <w:pPr>
        <w:pStyle w:val="Heading2"/>
      </w:pPr>
      <w:r>
        <w:t xml:space="preserve">5. Нумерованные формулы и опции расположения</w:t>
      </w:r>
    </w:p>
    <w:p>
      <w:pPr>
        <w:pStyle w:val="FirstParagraph"/>
      </w:pPr>
      <w:r>
        <w:t xml:space="preserve">Проверено окружение</w:t>
      </w:r>
      <w:r>
        <w:t xml:space="preserve"> </w:t>
      </w:r>
      <w:r>
        <w:rPr>
          <w:rStyle w:val="VerbatimChar"/>
        </w:rPr>
        <w:t xml:space="preserve">equations</w:t>
      </w:r>
      <w:r>
        <w:t xml:space="preserve"> </w:t>
      </w:r>
      <w:r>
        <w:t xml:space="preserve">для автоматической нумерации формул, а также влияние опции [leqno] на перенос номера формулы в левую часть</w:t>
      </w:r>
    </w:p>
    <w:bookmarkEnd w:id="27"/>
    <w:bookmarkStart w:id="28" w:name="amthmath-align-gather-multline-матрицы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amthmath</w:t>
      </w:r>
      <w:r>
        <w:t xml:space="preserve">: align, gather, multline, матрицы</w:t>
      </w:r>
    </w:p>
    <w:p>
      <w:pPr>
        <w:numPr>
          <w:ilvl w:val="0"/>
          <w:numId w:val="1003"/>
        </w:numPr>
        <w:pStyle w:val="Compact"/>
      </w:pPr>
      <w:r>
        <w:t xml:space="preserve">Использовано окружение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для выравнивания нескольких строк по знаку отношения и вставки текста внутри математики.</w:t>
      </w:r>
    </w:p>
    <w:p>
      <w:pPr>
        <w:numPr>
          <w:ilvl w:val="0"/>
          <w:numId w:val="1003"/>
        </w:numPr>
        <w:pStyle w:val="Compact"/>
      </w:pPr>
      <w:r>
        <w:t xml:space="preserve">Дополнительно протестированны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 </w:t>
      </w:r>
      <w:r>
        <w:t xml:space="preserve">для многострочных выражений без табличного выравнивания.</w:t>
      </w:r>
    </w:p>
    <w:p>
      <w:pPr>
        <w:numPr>
          <w:ilvl w:val="0"/>
          <w:numId w:val="1003"/>
        </w:numPr>
        <w:pStyle w:val="Compact"/>
      </w:pPr>
      <w:r>
        <w:t xml:space="preserve">Набьраны примеры матриц в скобках разных типов</w:t>
      </w:r>
    </w:p>
    <w:bookmarkEnd w:id="28"/>
    <w:bookmarkStart w:id="29" w:name="шрифты-в-математике-и-вложенность"/>
    <w:p>
      <w:pPr>
        <w:pStyle w:val="Heading2"/>
      </w:pPr>
      <w:r>
        <w:t xml:space="preserve">7. Шрифты в математике и вложенность</w:t>
      </w:r>
    </w:p>
    <w:p>
      <w:pPr>
        <w:pStyle w:val="FirstParagraph"/>
      </w:pPr>
      <w:r>
        <w:t xml:space="preserve">Использованы на практике команды ((</w:t>
      </w:r>
      <w:r>
        <w:t xml:space="preserve">), (</w:t>
      </w:r>
      <w:r>
        <w:t xml:space="preserve">), (</w:t>
      </w:r>
      <w:r>
        <w:t xml:space="preserve">), (</w:t>
      </w:r>
      <w:r>
        <w:t xml:space="preserve">), (</w:t>
      </w:r>
      <w:r>
        <w:t xml:space="preserve">), (</w:t>
      </w:r>
      <w:r>
        <w:t xml:space="preserve">)), и показано, как меняется результат при попытках вложить одни стили в другие</w:t>
      </w:r>
    </w:p>
    <w:bookmarkEnd w:id="29"/>
    <w:bookmarkStart w:id="30" w:name="русская-и-английская-версия-документы"/>
    <w:p>
      <w:pPr>
        <w:pStyle w:val="Heading2"/>
      </w:pPr>
      <w:r>
        <w:t xml:space="preserve">8. Русская и английская версия документы</w:t>
      </w:r>
    </w:p>
    <w:p>
      <w:pPr>
        <w:pStyle w:val="FirstParagraph"/>
      </w:pPr>
      <w:r>
        <w:t xml:space="preserve">Подготовлены два варианта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-документа (RU/EN) с идентичным набором экспериментов и получены итоговые PDF-файлы после компиляции.</w:t>
      </w:r>
    </w:p>
    <w:bookmarkEnd w:id="30"/>
    <w:bookmarkEnd w:id="31"/>
    <w:bookmarkStart w:id="32" w:name="формирование-отчета-и-презентации"/>
    <w:p>
      <w:pPr>
        <w:pStyle w:val="Heading1"/>
      </w:pPr>
      <w:r>
        <w:t xml:space="preserve">Формирование отчета и презентации</w:t>
      </w:r>
    </w:p>
    <w:p>
      <w:pPr>
        <w:numPr>
          <w:ilvl w:val="0"/>
          <w:numId w:val="1004"/>
        </w:numPr>
        <w:pStyle w:val="Compact"/>
      </w:pPr>
      <w:r>
        <w:t xml:space="preserve">Зафиксированы исходники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</w:p>
    <w:p>
      <w:pPr>
        <w:numPr>
          <w:ilvl w:val="0"/>
          <w:numId w:val="1004"/>
        </w:numPr>
        <w:pStyle w:val="Compact"/>
      </w:pPr>
      <w:r>
        <w:t xml:space="preserve">Сформирован отчет в markdown и конвертирован в pdf и docx средствами pandoc</w:t>
      </w:r>
    </w:p>
    <w:p>
      <w:pPr>
        <w:numPr>
          <w:ilvl w:val="0"/>
          <w:numId w:val="1004"/>
        </w:numPr>
        <w:pStyle w:val="Compact"/>
      </w:pPr>
      <w:r>
        <w:t xml:space="preserve">Модготовлена презентация в markdown (Marp) и тоже конвертирована во все необходимые форматы</w:t>
      </w:r>
    </w:p>
    <w:p>
      <w:pPr>
        <w:numPr>
          <w:ilvl w:val="0"/>
          <w:numId w:val="1004"/>
        </w:numPr>
        <w:pStyle w:val="Compact"/>
      </w:pPr>
      <w:r>
        <w:t xml:space="preserve">Скринкасты выполнения и защиты опубликованы на Rutube и Vkvideo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были отработные гланвые базовые операции для набора формул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:</w:t>
      </w:r>
      <w:r>
        <w:t xml:space="preserve"> </w:t>
      </w:r>
      <w:r>
        <w:t xml:space="preserve">- выбор режима (inline/display)</w:t>
      </w:r>
      <w:r>
        <w:t xml:space="preserve"> </w:t>
      </w:r>
      <w:r>
        <w:t xml:space="preserve">- ввод индексов и специальных символов</w:t>
      </w:r>
      <w:r>
        <w:t xml:space="preserve"> </w:t>
      </w:r>
      <w:r>
        <w:t xml:space="preserve">- набор интегралов и нумерация формул</w:t>
      </w:r>
      <w:r>
        <w:t xml:space="preserve"> </w:t>
      </w:r>
      <w:r>
        <w:t xml:space="preserve">- пакет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существенно упрощает оформление многострочных выражений</w:t>
      </w:r>
      <w:r>
        <w:t xml:space="preserve"> </w:t>
      </w:r>
      <w:r>
        <w:t xml:space="preserve">- опции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, которые позволяют быстро менять стиль расположения формул и их номеров</w:t>
      </w:r>
    </w:p>
    <w:p>
      <w:pPr>
        <w:pStyle w:val="BodyText"/>
      </w:pPr>
      <w:r>
        <w:t xml:space="preserve">Отдельно подтверждено, что смена математических шрифтов должна применяться осмысленно, так как она влияет на только на внешний вид, но и на интерпртицию обозначений при компиляции.</w:t>
      </w:r>
    </w:p>
    <w:bookmarkEnd w:id="33"/>
    <w:bookmarkStart w:id="34" w:name="списко-литературы"/>
    <w:p>
      <w:pPr>
        <w:pStyle w:val="Heading1"/>
      </w:pPr>
      <w:r>
        <w:t xml:space="preserve">Списко литературы</w:t>
      </w:r>
    </w:p>
    <w:p>
      <w:pPr>
        <w:pStyle w:val="FirstParagraph"/>
      </w:pPr>
      <w:r>
        <w:t xml:space="preserve">LearnLaTex: https://www.learnlatex.org/</w:t>
      </w:r>
      <w:r>
        <w:t xml:space="preserve"> </w:t>
      </w:r>
      <w:r>
        <w:t xml:space="preserve">LaTex Project: https://www.latex-project.org/</w:t>
      </w:r>
      <w:r>
        <w:t xml:space="preserve"> </w:t>
      </w:r>
      <w:r>
        <w:t xml:space="preserve">Tex Live: https://www.tug.org/texlive/</w:t>
      </w:r>
    </w:p>
    <w:bookmarkEnd w:id="34"/>
    <w:bookmarkStart w:id="35" w:name="приложения"/>
    <w:p>
      <w:pPr>
        <w:pStyle w:val="Heading1"/>
      </w:pPr>
      <w:r>
        <w:t xml:space="preserve">Приложения</w:t>
      </w:r>
    </w:p>
    <w:p>
      <w:pPr>
        <w:pStyle w:val="FirstParagraph"/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https://github.com/PepsiMonster/SciWriting/tree/main/ex3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предмету Practical scientific writing</dc:title>
  <dc:creator>Лобов Михаил Сергеевич</dc:creator>
  <dc:language>ru-RU</dc:language>
  <cp:keywords/>
  <dcterms:created xsi:type="dcterms:W3CDTF">2026-01-29T14:17:41Z</dcterms:created>
  <dcterms:modified xsi:type="dcterms:W3CDTF">2026-01-29T14:17:41Z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