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набор базовых приемов набора математических формул в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, а именно: работу в математическом режиме (inline и display) использование расширения пакета amsmath, вывод греческих букв, применение различных математических шрифтов (в т.ч. с вложенностью), а также настройку оформления формул с помощью опций класса документа (fleqn, lenqo).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Создать документ .tex со следующими приемами:</w:t>
      </w:r>
    </w:p>
    <w:p>
      <w:pPr>
        <w:numPr>
          <w:ilvl w:val="0"/>
          <w:numId w:val="1001"/>
        </w:numPr>
        <w:pStyle w:val="Compact"/>
      </w:pPr>
      <w:r>
        <w:t xml:space="preserve">Переклчать примеры формул между inline- и display- режимами, посмотреть различия.</w:t>
      </w:r>
    </w:p>
    <w:p>
      <w:pPr>
        <w:numPr>
          <w:ilvl w:val="0"/>
          <w:numId w:val="1001"/>
        </w:numPr>
        <w:pStyle w:val="Compact"/>
      </w:pPr>
      <w:r>
        <w:t xml:space="preserve">Добавить греческие буквы в разных регистрах.</w:t>
      </w:r>
    </w:p>
    <w:p>
      <w:pPr>
        <w:numPr>
          <w:ilvl w:val="0"/>
          <w:numId w:val="1001"/>
        </w:numPr>
        <w:pStyle w:val="Compact"/>
      </w:pPr>
      <w:r>
        <w:t xml:space="preserve">Проверить команды смены математических шрифтов и посмотеть, что происходит при вложенности.</w:t>
      </w:r>
    </w:p>
    <w:p>
      <w:pPr>
        <w:numPr>
          <w:ilvl w:val="0"/>
          <w:numId w:val="1001"/>
        </w:numPr>
        <w:pStyle w:val="Compact"/>
      </w:pPr>
      <w:r>
        <w:t xml:space="preserve">Изменть выравнивание формул опцией [fleqn].</w:t>
      </w:r>
    </w:p>
    <w:p>
      <w:pPr>
        <w:numPr>
          <w:ilvl w:val="0"/>
          <w:numId w:val="1001"/>
        </w:numPr>
        <w:pStyle w:val="Compact"/>
      </w:pPr>
      <w:r>
        <w:t xml:space="preserve">Изменить размещение номеров форму опцией [leqno].</w:t>
      </w:r>
    </w:p>
    <w:p>
      <w:pPr>
        <w:numPr>
          <w:ilvl w:val="0"/>
          <w:numId w:val="1001"/>
        </w:numPr>
        <w:pStyle w:val="Compact"/>
      </w:pPr>
      <w:r>
        <w:t xml:space="preserve">Подготовить русскую и английскую версии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 </w:t>
      </w:r>
      <w:r>
        <w:t xml:space="preserve">документа, скомпилировать PDF файл, заполнить отчет и презентацию, опубликовать материалы.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Математический режим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 </w:t>
      </w:r>
      <w:r>
        <w:t xml:space="preserve">предназначен для логичного набора формул: пробелы внутри формул игнорируются, а типографическе отступы между математическоими символами подбираются автоматически. Формулы можно набирать в тексте (inline) и отдельно в строке (display). Для более сложных конструкций часто используют пакет amsmath, который добавляет окружения выравнивания (</w:t>
      </w:r>
      <w:r>
        <w:rPr>
          <w:rStyle w:val="VerbatimChar"/>
        </w:rPr>
        <w:t xml:space="preserve">align</w:t>
      </w:r>
      <w:r>
        <w:t xml:space="preserve">,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multline</w:t>
      </w:r>
      <w:r>
        <w:t xml:space="preserve">), матрицы и команды для типовых математических объектов.</w:t>
      </w:r>
    </w:p>
    <w:p>
      <w:pPr>
        <w:pStyle w:val="BodyText"/>
      </w:pPr>
      <w:r>
        <w:t xml:space="preserve">В формулах смена шрифта можент нести смысловую нагрузку (например,</w:t>
      </w:r>
      <w:r>
        <w:t xml:space="preserve"> </w:t>
      </w:r>
      <w:r>
        <w:rPr>
          <w:rStyle w:val="VerbatimChar"/>
        </w:rPr>
        <w:t xml:space="preserve">\mathrm{d}</w:t>
      </w:r>
      <w:r>
        <w:t xml:space="preserve"> </w:t>
      </w:r>
      <w:r>
        <w:t xml:space="preserve">как дифференциал,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как множество и так далее).</w:t>
      </w:r>
    </w:p>
    <w:bookmarkEnd w:id="22"/>
    <w:bookmarkStart w:id="31" w:name="выполнение-лаборато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лаборатоной работы</w:t>
      </w:r>
    </w:p>
    <w:bookmarkStart w:id="23" w:name="inline-и-display-математик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Inline и display математика</w:t>
      </w:r>
    </w:p>
    <w:p>
      <w:pPr>
        <w:pStyle w:val="FirstParagraph"/>
      </w:pPr>
      <w:r>
        <w:t xml:space="preserve">Проверено влияние режима на внешний вид формул:</w:t>
      </w:r>
    </w:p>
    <w:p>
      <w:pPr>
        <w:numPr>
          <w:ilvl w:val="0"/>
          <w:numId w:val="1002"/>
        </w:numPr>
      </w:pPr>
      <w:r>
        <w:t xml:space="preserve">inline-формулы</w:t>
      </w:r>
      <w:r>
        <w:t xml:space="preserve"> </w:t>
      </w:r>
      <w:r>
        <w:t xml:space="preserve">“</w:t>
      </w:r>
      <w:r>
        <w:t xml:space="preserve">встраиваются</w:t>
      </w:r>
      <w:r>
        <w:t xml:space="preserve">”</w:t>
      </w:r>
      <w:r>
        <w:t xml:space="preserve"> </w:t>
      </w:r>
      <w:r>
        <w:t xml:space="preserve">в строку и стараются не разрывать межстрочный интервал;</w:t>
      </w:r>
    </w:p>
    <w:p>
      <w:pPr>
        <w:numPr>
          <w:ilvl w:val="0"/>
          <w:numId w:val="1002"/>
        </w:numPr>
      </w:pPr>
      <w:r>
        <w:t xml:space="preserve">display-формулы выделяются отдельным блоком и визуально читаются лучше для</w:t>
      </w:r>
      <w:r>
        <w:t xml:space="preserve"> </w:t>
      </w:r>
      <w:r>
        <w:t xml:space="preserve">“</w:t>
      </w:r>
      <w:r>
        <w:t xml:space="preserve">крупных</w:t>
      </w:r>
      <w:r>
        <w:t xml:space="preserve">”</w:t>
      </w:r>
      <w:r>
        <w:t xml:space="preserve"> </w:t>
      </w:r>
      <w:r>
        <w:t xml:space="preserve">выражений</w:t>
      </w:r>
    </w:p>
    <w:p>
      <w:pPr>
        <w:pStyle w:val="FirstParagraph"/>
      </w:pPr>
      <w:r>
        <w:t xml:space="preserve">Пример: (y = mx + c) (inline) и [</w:t>
      </w:r>
      <w:r>
        <w:t xml:space="preserve"> </w:t>
      </w:r>
      <w:r>
        <w:t xml:space="preserve">y = mx + c</w:t>
      </w:r>
      <w:r>
        <w:t xml:space="preserve"> </w:t>
      </w:r>
      <w:r>
        <w:t xml:space="preserve">] (display).</w:t>
      </w:r>
    </w:p>
    <w:bookmarkEnd w:id="23"/>
    <w:bookmarkStart w:id="24" w:name="Xbefa82823f122f61e1c5150ecc4da3fbc0fea6d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Верхние и нижние индексы, а также ручные пробелы</w:t>
      </w:r>
    </w:p>
    <w:p>
      <w:pPr>
        <w:pStyle w:val="FirstParagraph"/>
      </w:pPr>
      <w:r>
        <w:t xml:space="preserve">Использованы над- и подстрочные индексы вида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d</m:t>
            </m:r>
          </m:sup>
        </m:sSup>
      </m:oMath>
      <w:r>
        <w:t xml:space="preserve">, а также примеры, показывающие, что пробелы в математичке не</w:t>
      </w:r>
      <w:r>
        <w:t xml:space="preserve"> </w:t>
      </w:r>
      <w:r>
        <w:t xml:space="preserve">“</w:t>
      </w:r>
      <w:r>
        <w:t xml:space="preserve">считываются</w:t>
      </w:r>
      <w:r>
        <w:t xml:space="preserve">”</w:t>
      </w:r>
      <w:r>
        <w:t xml:space="preserve"> </w:t>
      </w:r>
      <w:r>
        <w:t xml:space="preserve">и при необходимости добавляются командами тонких/средних пробелов.</w:t>
      </w:r>
    </w:p>
    <w:bookmarkEnd w:id="24"/>
    <w:bookmarkStart w:id="25" w:name="греческие-буквы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Греческие буквы</w:t>
      </w:r>
    </w:p>
    <w:p>
      <w:pPr>
        <w:pStyle w:val="FirstParagraph"/>
      </w:pPr>
      <w:r>
        <w:t xml:space="preserve">Добавлены строчные и прописные символы: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nor/>
              <m:sty m:val="p"/>
            </m:rPr>
            <m:t> or </m:t>
          </m:r>
          <m:sSub>
            <m:e>
              <m:r>
                <m:t>a</m:t>
              </m:r>
            </m:e>
            <m:sub>
              <m:r>
                <m:t>b</m:t>
              </m:r>
            </m:sub>
          </m:sSub>
          <m:r>
            <m:rPr>
              <m:nor/>
              <m:sty m:val="p"/>
            </m:rPr>
            <m:t> and </m:t>
          </m:r>
          <m:sSubSup>
            <m:e>
              <m:r>
                <m:t>x</m:t>
              </m:r>
            </m:e>
            <m:sub>
              <m:r>
                <m:t>n</m:t>
              </m:r>
            </m:sub>
            <m:sup>
              <m:r>
                <m:t>1000</m:t>
              </m:r>
            </m:sup>
          </m:sSubSup>
        </m:oMath>
      </m:oMathPara>
    </w:p>
    <w:bookmarkEnd w:id="25"/>
    <w:bookmarkStart w:id="26" w:name="интеграл-и-аккуратный-dx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Интеграл и аккуратный (dx)</w:t>
      </w:r>
    </w:p>
    <w:p>
      <w:pPr>
        <w:pStyle w:val="FirstParagraph"/>
      </w:pPr>
      <w:r>
        <w:t xml:space="preserve">Набран пример интеграла и оформлен дифференциал (dx) с корректным интервалом</w:t>
      </w:r>
    </w:p>
    <w:bookmarkEnd w:id="26"/>
    <w:bookmarkStart w:id="27" w:name="X34062477b1a63ca8a57e9758bec2547aad5fc8e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Нумерованные формулы и опции расположения</w:t>
      </w:r>
    </w:p>
    <w:p>
      <w:pPr>
        <w:pStyle w:val="FirstParagraph"/>
      </w:pPr>
      <w:r>
        <w:t xml:space="preserve">Проверено окружение</w:t>
      </w:r>
      <w:r>
        <w:t xml:space="preserve"> </w:t>
      </w:r>
      <w:r>
        <w:rPr>
          <w:rStyle w:val="VerbatimChar"/>
        </w:rPr>
        <w:t xml:space="preserve">equations</w:t>
      </w:r>
      <w:r>
        <w:t xml:space="preserve"> </w:t>
      </w:r>
      <w:r>
        <w:t xml:space="preserve">для автоматической нумерации формул, а также влияние опции [leqno] на перенос номера формулы в левую часть</w:t>
      </w:r>
    </w:p>
    <w:bookmarkEnd w:id="27"/>
    <w:bookmarkStart w:id="28" w:name="amthmath-align-gather-multline-матрицы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6.</w:t>
      </w:r>
      <w:r>
        <w:t xml:space="preserve"> </w:t>
      </w:r>
      <w:r>
        <w:rPr>
          <w:rStyle w:val="VerbatimChar"/>
        </w:rPr>
        <w:t xml:space="preserve">amthmath</w:t>
      </w:r>
      <w:r>
        <w:t xml:space="preserve">: align, gather, multline, матрицы</w:t>
      </w:r>
    </w:p>
    <w:p>
      <w:pPr>
        <w:numPr>
          <w:ilvl w:val="0"/>
          <w:numId w:val="1003"/>
        </w:numPr>
        <w:pStyle w:val="Compact"/>
      </w:pPr>
      <w:r>
        <w:t xml:space="preserve">Использовано окружение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для выравнивания нескольких строк по знаку отношения и вставки текста внутри математики.</w:t>
      </w:r>
    </w:p>
    <w:p>
      <w:pPr>
        <w:numPr>
          <w:ilvl w:val="0"/>
          <w:numId w:val="1003"/>
        </w:numPr>
        <w:pStyle w:val="Compact"/>
      </w:pPr>
      <w:r>
        <w:t xml:space="preserve">Дополнительно протестированны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multline</w:t>
      </w:r>
      <w:r>
        <w:t xml:space="preserve"> </w:t>
      </w:r>
      <w:r>
        <w:t xml:space="preserve">для многострочных выражений без табличного выравнивания.</w:t>
      </w:r>
    </w:p>
    <w:p>
      <w:pPr>
        <w:numPr>
          <w:ilvl w:val="0"/>
          <w:numId w:val="1003"/>
        </w:numPr>
        <w:pStyle w:val="Compact"/>
      </w:pPr>
      <w:r>
        <w:t xml:space="preserve">Набьраны примеры матриц в скобках разных типов</w:t>
      </w:r>
    </w:p>
    <w:bookmarkEnd w:id="28"/>
    <w:bookmarkStart w:id="29" w:name="шрифты-в-математике-и-вложенность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7. Шрифты в математике и вложенность</w:t>
      </w:r>
    </w:p>
    <w:p>
      <w:pPr>
        <w:pStyle w:val="FirstParagraph"/>
      </w:pPr>
      <w:r>
        <w:t xml:space="preserve">Использованы на практике команды (</w:t>
      </w:r>
      <w:r>
        <w:t xml:space="preserve"> </w:t>
      </w:r>
      <w:r>
        <w:rPr>
          <w:rStyle w:val="VerbatimChar"/>
        </w:rPr>
        <w:t xml:space="preserve">\mathrm{}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\mathit{}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\mathbf{}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\mathsf{}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\mathtt{}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\mathbb{}</w:t>
      </w:r>
      <w:r>
        <w:t xml:space="preserve">), и показано, как меняется результат при попытках вложить одни стили в другие</w:t>
      </w:r>
    </w:p>
    <w:bookmarkEnd w:id="29"/>
    <w:bookmarkStart w:id="30" w:name="русская-и-английская-версия-документы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8. Русская и английская версия документы</w:t>
      </w:r>
    </w:p>
    <w:p>
      <w:pPr>
        <w:pStyle w:val="FirstParagraph"/>
      </w:pPr>
      <w:r>
        <w:t xml:space="preserve">Подготовлены два варианта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-документа (RU/EN) с идентичным набором экспериментов и получены итоговые PDF-файлы после компиляции.</w:t>
      </w:r>
    </w:p>
    <w:bookmarkEnd w:id="30"/>
    <w:bookmarkEnd w:id="31"/>
    <w:bookmarkStart w:id="32" w:name="формирование-отчета-и-презентации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Формирование отчета и презентации</w:t>
      </w:r>
    </w:p>
    <w:p>
      <w:pPr>
        <w:numPr>
          <w:ilvl w:val="0"/>
          <w:numId w:val="1004"/>
        </w:numPr>
        <w:pStyle w:val="Compact"/>
      </w:pPr>
      <w:r>
        <w:t xml:space="preserve">Зафиксированы исходники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</w:p>
    <w:p>
      <w:pPr>
        <w:numPr>
          <w:ilvl w:val="0"/>
          <w:numId w:val="1004"/>
        </w:numPr>
        <w:pStyle w:val="Compact"/>
      </w:pPr>
      <w:r>
        <w:t xml:space="preserve">Сформирован отчет в markdown и конвертирован в pdf и docx средствами pandoc</w:t>
      </w:r>
    </w:p>
    <w:p>
      <w:pPr>
        <w:numPr>
          <w:ilvl w:val="0"/>
          <w:numId w:val="1004"/>
        </w:numPr>
        <w:pStyle w:val="Compact"/>
      </w:pPr>
      <w:r>
        <w:t xml:space="preserve">Модготовлена презентация в markdown (Marp) и тоже конвертирована во все необходимые форматы</w:t>
      </w:r>
    </w:p>
    <w:p>
      <w:pPr>
        <w:numPr>
          <w:ilvl w:val="0"/>
          <w:numId w:val="1004"/>
        </w:numPr>
        <w:pStyle w:val="Compact"/>
      </w:pPr>
      <w:r>
        <w:t xml:space="preserve">Скринкасты выполнения и защиты опубликованы на Rutube и Vkvideo</w:t>
      </w:r>
    </w:p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отработные гланвые базовые операции для набора формул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:</w:t>
      </w:r>
      <w:r>
        <w:t xml:space="preserve"> </w:t>
      </w:r>
      <w:r>
        <w:t xml:space="preserve">- выбор режима (inline/display)</w:t>
      </w:r>
      <w:r>
        <w:t xml:space="preserve"> </w:t>
      </w:r>
      <w:r>
        <w:t xml:space="preserve">- ввод индексов и специальных символов</w:t>
      </w:r>
      <w:r>
        <w:t xml:space="preserve"> </w:t>
      </w:r>
      <w:r>
        <w:t xml:space="preserve">- набор интегралов и нумерация формул</w:t>
      </w:r>
      <w:r>
        <w:t xml:space="preserve"> </w:t>
      </w:r>
      <w:r>
        <w:t xml:space="preserve">- пакет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 </w:t>
      </w:r>
      <w:r>
        <w:t xml:space="preserve">существенно упрощает оформление многострочных выражений</w:t>
      </w:r>
      <w:r>
        <w:t xml:space="preserve"> </w:t>
      </w:r>
      <w:r>
        <w:t xml:space="preserve">- опции</w:t>
      </w:r>
      <w:r>
        <w:t xml:space="preserve"> </w:t>
      </w:r>
      <w:r>
        <w:rPr>
          <w:rStyle w:val="VerbatimChar"/>
        </w:rPr>
        <w:t xml:space="preserve">[fleqn]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[leqno]</w:t>
      </w:r>
      <w:r>
        <w:t xml:space="preserve">, которые позволяют быстро менять стиль расположения формул и их номеров</w:t>
      </w:r>
    </w:p>
    <w:p>
      <w:pPr>
        <w:pStyle w:val="BodyText"/>
      </w:pPr>
      <w:r>
        <w:t xml:space="preserve">Отдельно подтверждено, что смена математических шрифтов должна применяться осмысленно, так как она влияет на только на внешний вид, но и на интерпртицию обозначений при компиляции.</w:t>
      </w:r>
    </w:p>
    <w:bookmarkEnd w:id="33"/>
    <w:bookmarkStart w:id="34" w:name="списко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Списко литературы</w:t>
      </w:r>
    </w:p>
    <w:p>
      <w:pPr>
        <w:pStyle w:val="FirstParagraph"/>
      </w:pPr>
      <w:r>
        <w:t xml:space="preserve">LearnLaTex: https://www.learnlatex.org/</w:t>
      </w:r>
      <w:r>
        <w:t xml:space="preserve"> </w:t>
      </w:r>
      <w:r>
        <w:t xml:space="preserve">LaTex Project: https://www.latex-project.org/</w:t>
      </w:r>
      <w:r>
        <w:t xml:space="preserve"> </w:t>
      </w:r>
      <w:r>
        <w:t xml:space="preserve">Tex Live: https://www.tug.org/texlive/</w:t>
      </w:r>
    </w:p>
    <w:bookmarkEnd w:id="34"/>
    <w:bookmarkStart w:id="35" w:name="приложения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Приложения</w:t>
      </w:r>
    </w:p>
    <w:p>
      <w:pPr>
        <w:pStyle w:val="FirstParagraph"/>
      </w:pPr>
      <w:r>
        <w:t xml:space="preserve">Репозиторий с материалами:</w:t>
      </w:r>
      <w:r>
        <w:t xml:space="preserve"> </w:t>
      </w:r>
      <w:r>
        <w:t xml:space="preserve">https://github.com/PepsiMonster/SciWriting/tree/main/ex3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 по предмету Computer skills for scientific writing</dc:title>
  <dc:creator>Лобов Михаил Сергеевич</dc:creator>
  <dc:language>ru-RU</dc:language>
  <cp:keywords/>
  <dcterms:created xsi:type="dcterms:W3CDTF">2026-03-11T22:00:52Z</dcterms:created>
  <dcterms:modified xsi:type="dcterms:W3CDTF">2026-03-11T22:00:52Z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athfontoptions">
    <vt:lpwstr/>
  </property>
  <property fmtid="{D5CDD505-2E9C-101B-9397-08002B2CF9AE}" pid="24" name="monofont">
    <vt:lpwstr>Consolas</vt:lpwstr>
  </property>
  <property fmtid="{D5CDD505-2E9C-101B-9397-08002B2CF9AE}" pid="25" name="monofontoptions">
    <vt:lpwstr>Scale=MatchLowercase,Scale=0.9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Times New Roman</vt:lpwstr>
  </property>
  <property fmtid="{D5CDD505-2E9C-101B-9397-08002B2CF9AE}" pid="30" name="romanfontoptions">
    <vt:lpwstr>Ligatures=TeX</vt:lpwstr>
  </property>
  <property fmtid="{D5CDD505-2E9C-101B-9397-08002B2CF9AE}" pid="31" name="sansfont">
    <vt:lpwstr>Arial</vt:lpwstr>
  </property>
  <property fmtid="{D5CDD505-2E9C-101B-9397-08002B2CF9AE}" pid="32" name="sansfontoptions">
    <vt:lpwstr>Ligatures=TeX,Scale=MatchLowercase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